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C1637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10C7D77">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735F573">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7C2B6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B6DA38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827065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0DD8AE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81320C9">
            <w:pPr>
              <w:pStyle w:val="49"/>
              <w:framePr w:w="0" w:hRule="auto" w:wrap="auto" w:vAnchor="margin" w:hAnchor="text" w:xAlign="left" w:yAlign="inline"/>
              <w:rPr>
                <w:rFonts w:ascii="宋体" w:hAnsi="宋体"/>
                <w:sz w:val="28"/>
                <w:szCs w:val="28"/>
              </w:rPr>
            </w:pPr>
            <w:bookmarkStart w:id="2" w:name="_Hlk26473981"/>
            <w:r>
              <w:t>DB</w:t>
            </w:r>
            <w:r>
              <w:rPr>
                <w:sz w:val="21"/>
                <w:szCs w:val="21"/>
              </w:rPr>
              <w:t xml:space="preserve"> </w:t>
            </w:r>
            <w:r>
              <w:t>32</w:t>
            </w:r>
          </w:p>
        </w:tc>
      </w:tr>
    </w:tbl>
    <w:p w14:paraId="4E2759A6">
      <w:pPr>
        <w:pStyle w:val="50"/>
        <w:framePr w:w="9639" w:h="624" w:hRule="exact" w:hSpace="181" w:vSpace="181" w:wrap="around" w:hAnchor="page" w:x="1305" w:y="2269"/>
        <w:rPr>
          <w:rFonts w:ascii="黑体" w:hAnsi="黑体" w:eastAsia="黑体"/>
          <w:b w:val="0"/>
          <w:bCs w:val="0"/>
          <w:w w:val="100"/>
          <w:sz w:val="48"/>
          <w:szCs w:val="48"/>
        </w:rPr>
      </w:pPr>
      <w:r>
        <w:rPr>
          <w:rFonts w:hint="eastAsia" w:ascii="黑体" w:eastAsia="黑体"/>
          <w:b w:val="0"/>
          <w:w w:val="100"/>
          <w:sz w:val="48"/>
        </w:rPr>
        <w:t>江苏省</w:t>
      </w:r>
      <w:r>
        <w:rPr>
          <w:rFonts w:hint="eastAsia" w:ascii="黑体" w:hAnsi="黑体" w:eastAsia="黑体"/>
          <w:b w:val="0"/>
          <w:bCs w:val="0"/>
          <w:w w:val="100"/>
          <w:sz w:val="48"/>
          <w:szCs w:val="48"/>
        </w:rPr>
        <w:t>地方标准</w:t>
      </w:r>
    </w:p>
    <w:bookmarkEnd w:id="2"/>
    <w:p w14:paraId="56A70DF2">
      <w:pPr>
        <w:pStyle w:val="195"/>
        <w:framePr/>
        <w:rPr>
          <w:color w:val="FF0000"/>
          <w:lang w:val="fr-FR"/>
        </w:rPr>
      </w:pPr>
      <w:r>
        <w:rPr>
          <w:color w:val="FF0000"/>
          <w:lang w:val="fr-FR"/>
        </w:rPr>
        <w:t>DB</w:t>
      </w:r>
      <w:r>
        <w:rPr>
          <w:color w:val="FF0000"/>
          <w:sz w:val="15"/>
          <w:szCs w:val="15"/>
          <w:lang w:val="fr-FR"/>
        </w:rPr>
        <w:t xml:space="preserve"> </w:t>
      </w:r>
      <w:r>
        <w:rPr>
          <w:color w:val="FF0000"/>
        </w:rPr>
        <w:fldChar w:fldCharType="begin">
          <w:ffData>
            <w:name w:val="文字1"/>
            <w:enabled/>
            <w:calcOnExit w:val="0"/>
            <w:textInput>
              <w:default w:val="32/T"/>
            </w:textInput>
          </w:ffData>
        </w:fldChar>
      </w:r>
      <w:bookmarkStart w:id="3" w:name="文字1"/>
      <w:r>
        <w:rPr>
          <w:color w:val="FF0000"/>
        </w:rPr>
        <w:instrText xml:space="preserve"> FORMTEXT </w:instrText>
      </w:r>
      <w:r>
        <w:rPr>
          <w:color w:val="FF0000"/>
        </w:rPr>
        <w:fldChar w:fldCharType="separate"/>
      </w:r>
      <w:r>
        <w:rPr>
          <w:color w:val="FF0000"/>
        </w:rPr>
        <w:t>32/T</w:t>
      </w:r>
      <w:r>
        <w:rPr>
          <w:color w:val="FF0000"/>
        </w:rPr>
        <w:fldChar w:fldCharType="end"/>
      </w:r>
      <w:bookmarkEnd w:id="3"/>
      <w:r>
        <w:rPr>
          <w:color w:val="FF0000"/>
          <w:lang w:val="fr-FR"/>
        </w:rPr>
        <w:t xml:space="preserve"> </w:t>
      </w:r>
    </w:p>
    <w:p w14:paraId="61CEDDA5">
      <w:pPr>
        <w:pStyle w:val="196"/>
        <w:framePr/>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14:paraId="5819EFE3">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614B559">
      <w:pPr>
        <w:pStyle w:val="50"/>
        <w:framePr w:w="9639" w:h="6976" w:hRule="exact" w:hSpace="0" w:vSpace="0" w:wrap="around" w:hAnchor="page" w:y="6408"/>
        <w:jc w:val="center"/>
        <w:rPr>
          <w:rFonts w:ascii="黑体" w:hAnsi="黑体" w:eastAsia="黑体"/>
          <w:b w:val="0"/>
          <w:bCs w:val="0"/>
          <w:w w:val="100"/>
        </w:rPr>
      </w:pPr>
    </w:p>
    <w:p w14:paraId="137E0807">
      <w:pPr>
        <w:pStyle w:val="197"/>
        <w:framePr w:h="6974" w:hRule="exact" w:wrap="around" w:x="1419" w:anchorLock="1"/>
      </w:pPr>
      <w:bookmarkStart w:id="49" w:name="_GoBack"/>
      <w:r>
        <w:rPr>
          <w:rFonts w:hint="eastAsia"/>
        </w:rPr>
        <w:t>居民健康档案开放规范</w:t>
      </w:r>
    </w:p>
    <w:bookmarkEnd w:id="49"/>
    <w:p w14:paraId="6506AF36">
      <w:pPr>
        <w:framePr w:w="9639" w:h="6974" w:hRule="exact" w:wrap="around" w:vAnchor="page" w:hAnchor="page" w:x="1419" w:y="6408" w:anchorLock="1"/>
        <w:ind w:left="-1418"/>
      </w:pPr>
    </w:p>
    <w:p w14:paraId="4C7C8D13">
      <w:pPr>
        <w:pStyle w:val="125"/>
        <w:framePr w:w="9639" w:h="6974" w:hRule="exact" w:wrap="around" w:vAnchor="page" w:hAnchor="page" w:x="1419" w:y="6408" w:anchorLock="1"/>
        <w:textAlignment w:val="bottom"/>
        <w:rPr>
          <w:rFonts w:eastAsia="黑体"/>
          <w:szCs w:val="28"/>
        </w:rPr>
      </w:pPr>
      <w:r>
        <w:rPr>
          <w:rFonts w:eastAsia="黑体"/>
          <w:szCs w:val="28"/>
        </w:rPr>
        <w:t>Norms for the opening of residents' health records</w:t>
      </w:r>
    </w:p>
    <w:p w14:paraId="613CDF4D">
      <w:pPr>
        <w:framePr w:w="9639" w:h="6974" w:hRule="exact" w:wrap="around" w:vAnchor="page" w:hAnchor="page" w:x="1419" w:y="6408" w:anchorLock="1"/>
        <w:spacing w:line="760" w:lineRule="exact"/>
        <w:ind w:left="-1418"/>
      </w:pPr>
    </w:p>
    <w:p w14:paraId="774F7F29">
      <w:pPr>
        <w:pStyle w:val="125"/>
        <w:framePr w:w="9639" w:h="6974" w:hRule="exact" w:wrap="around" w:vAnchor="page" w:hAnchor="page" w:x="1419" w:y="6408" w:anchorLock="1"/>
        <w:textAlignment w:val="bottom"/>
        <w:rPr>
          <w:rFonts w:eastAsia="黑体"/>
          <w:szCs w:val="28"/>
        </w:rPr>
      </w:pPr>
    </w:p>
    <w:p w14:paraId="3FCE4134">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5" w:name="下拉1"/>
      <w:r>
        <w:rPr>
          <w:sz w:val="24"/>
          <w:szCs w:val="28"/>
        </w:rPr>
        <w:instrText xml:space="preserve"> FORMDROPDOWN </w:instrText>
      </w:r>
      <w:r>
        <w:rPr>
          <w:sz w:val="24"/>
          <w:szCs w:val="28"/>
        </w:rPr>
        <w:fldChar w:fldCharType="separate"/>
      </w:r>
      <w:r>
        <w:rPr>
          <w:sz w:val="24"/>
          <w:szCs w:val="28"/>
        </w:rPr>
        <w:fldChar w:fldCharType="end"/>
      </w:r>
      <w:bookmarkEnd w:id="5"/>
    </w:p>
    <w:p w14:paraId="66A844BA">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6"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6"/>
    </w:p>
    <w:p w14:paraId="60616F6E">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7" w:name="下拉2"/>
      <w:r>
        <w:rPr>
          <w:b/>
          <w:sz w:val="21"/>
          <w:szCs w:val="28"/>
        </w:rPr>
        <w:instrText xml:space="preserve"> FORMDROPDOWN </w:instrText>
      </w:r>
      <w:r>
        <w:rPr>
          <w:b/>
          <w:sz w:val="21"/>
          <w:szCs w:val="28"/>
        </w:rPr>
        <w:fldChar w:fldCharType="separate"/>
      </w:r>
      <w:r>
        <w:rPr>
          <w:b/>
          <w:sz w:val="21"/>
          <w:szCs w:val="28"/>
        </w:rPr>
        <w:fldChar w:fldCharType="end"/>
      </w:r>
      <w:bookmarkEnd w:id="7"/>
    </w:p>
    <w:p w14:paraId="14FCC354">
      <w:pPr>
        <w:pStyle w:val="193"/>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14:paraId="3FDE245D">
      <w:pPr>
        <w:pStyle w:val="194"/>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14:paraId="4825DC20">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14"/>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04927A5A">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D0E69AF">
      <w:pPr>
        <w:pStyle w:val="91"/>
        <w:spacing w:after="468"/>
      </w:pPr>
      <w:bookmarkStart w:id="15" w:name="BookMark1"/>
      <w:r>
        <w:rPr>
          <w:spacing w:val="320"/>
        </w:rPr>
        <w:t>目</w:t>
      </w:r>
      <w:r>
        <w:t>次</w:t>
      </w:r>
    </w:p>
    <w:p w14:paraId="3CF94BBF">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"_Toc129109172" </w:instrText>
      </w:r>
      <w:r>
        <w:fldChar w:fldCharType="separate"/>
      </w:r>
      <w:r>
        <w:rPr>
          <w:rStyle w:val="32"/>
        </w:rPr>
        <w:t>1  范围</w:t>
      </w:r>
      <w:r>
        <w:tab/>
      </w:r>
      <w:r>
        <w:fldChar w:fldCharType="begin"/>
      </w:r>
      <w:r>
        <w:instrText xml:space="preserve"> PAGEREF _Toc129109172 \h </w:instrText>
      </w:r>
      <w:r>
        <w:fldChar w:fldCharType="separate"/>
      </w:r>
      <w:r>
        <w:t>1</w:t>
      </w:r>
      <w:r>
        <w:fldChar w:fldCharType="end"/>
      </w:r>
      <w:r>
        <w:fldChar w:fldCharType="end"/>
      </w:r>
    </w:p>
    <w:p w14:paraId="42DBAAD0">
      <w:pPr>
        <w:pStyle w:val="19"/>
        <w:tabs>
          <w:tab w:val="right" w:leader="dot" w:pos="9344"/>
        </w:tabs>
        <w:rPr>
          <w:rFonts w:asciiTheme="minorHAnsi" w:hAnsiTheme="minorHAnsi" w:eastAsiaTheme="minorEastAsia" w:cstheme="minorBidi"/>
          <w:szCs w:val="22"/>
        </w:rPr>
      </w:pPr>
      <w:r>
        <w:fldChar w:fldCharType="begin"/>
      </w:r>
      <w:r>
        <w:instrText xml:space="preserve"> HYPERLINK \l "_Toc129109173" </w:instrText>
      </w:r>
      <w:r>
        <w:fldChar w:fldCharType="separate"/>
      </w:r>
      <w:r>
        <w:rPr>
          <w:rStyle w:val="32"/>
        </w:rPr>
        <w:t>2  规范性引用文件</w:t>
      </w:r>
      <w:r>
        <w:tab/>
      </w:r>
      <w:r>
        <w:fldChar w:fldCharType="begin"/>
      </w:r>
      <w:r>
        <w:instrText xml:space="preserve"> PAGEREF _Toc129109173 \h </w:instrText>
      </w:r>
      <w:r>
        <w:fldChar w:fldCharType="separate"/>
      </w:r>
      <w:r>
        <w:t>1</w:t>
      </w:r>
      <w:r>
        <w:fldChar w:fldCharType="end"/>
      </w:r>
      <w:r>
        <w:fldChar w:fldCharType="end"/>
      </w:r>
    </w:p>
    <w:p w14:paraId="0034D1E5">
      <w:pPr>
        <w:pStyle w:val="19"/>
        <w:tabs>
          <w:tab w:val="right" w:leader="dot" w:pos="9344"/>
        </w:tabs>
        <w:rPr>
          <w:rFonts w:asciiTheme="minorHAnsi" w:hAnsiTheme="minorHAnsi" w:eastAsiaTheme="minorEastAsia" w:cstheme="minorBidi"/>
          <w:szCs w:val="22"/>
        </w:rPr>
      </w:pPr>
      <w:r>
        <w:fldChar w:fldCharType="begin"/>
      </w:r>
      <w:r>
        <w:instrText xml:space="preserve"> HYPERLINK \l "_Toc129109174" </w:instrText>
      </w:r>
      <w:r>
        <w:fldChar w:fldCharType="separate"/>
      </w:r>
      <w:r>
        <w:rPr>
          <w:rStyle w:val="32"/>
        </w:rPr>
        <w:t>3  术语和定义</w:t>
      </w:r>
      <w:r>
        <w:tab/>
      </w:r>
      <w:r>
        <w:fldChar w:fldCharType="begin"/>
      </w:r>
      <w:r>
        <w:instrText xml:space="preserve"> PAGEREF _Toc129109174 \h </w:instrText>
      </w:r>
      <w:r>
        <w:fldChar w:fldCharType="separate"/>
      </w:r>
      <w:r>
        <w:t>1</w:t>
      </w:r>
      <w:r>
        <w:fldChar w:fldCharType="end"/>
      </w:r>
      <w:r>
        <w:fldChar w:fldCharType="end"/>
      </w:r>
    </w:p>
    <w:p w14:paraId="0564F9FD">
      <w:pPr>
        <w:pStyle w:val="19"/>
        <w:tabs>
          <w:tab w:val="right" w:leader="dot" w:pos="9344"/>
        </w:tabs>
        <w:rPr>
          <w:rFonts w:asciiTheme="minorHAnsi" w:hAnsiTheme="minorHAnsi" w:eastAsiaTheme="minorEastAsia" w:cstheme="minorBidi"/>
          <w:szCs w:val="22"/>
        </w:rPr>
      </w:pPr>
      <w:r>
        <w:fldChar w:fldCharType="begin"/>
      </w:r>
      <w:r>
        <w:instrText xml:space="preserve"> HYPERLINK \l "_Toc129109175" </w:instrText>
      </w:r>
      <w:r>
        <w:fldChar w:fldCharType="separate"/>
      </w:r>
      <w:r>
        <w:rPr>
          <w:rStyle w:val="32"/>
        </w:rPr>
        <w:t xml:space="preserve">4  </w:t>
      </w:r>
      <w:r>
        <w:rPr>
          <w:rStyle w:val="32"/>
          <w:rFonts w:hint="eastAsia"/>
        </w:rPr>
        <w:t>总体要求</w:t>
      </w:r>
      <w:r>
        <w:tab/>
      </w:r>
      <w:r>
        <w:fldChar w:fldCharType="begin"/>
      </w:r>
      <w:r>
        <w:instrText xml:space="preserve"> PAGEREF _Toc129109175 \h </w:instrText>
      </w:r>
      <w:r>
        <w:fldChar w:fldCharType="separate"/>
      </w:r>
      <w:r>
        <w:t>1</w:t>
      </w:r>
      <w:r>
        <w:fldChar w:fldCharType="end"/>
      </w:r>
      <w:r>
        <w:fldChar w:fldCharType="end"/>
      </w:r>
    </w:p>
    <w:p w14:paraId="0DD71071">
      <w:pPr>
        <w:pStyle w:val="19"/>
        <w:tabs>
          <w:tab w:val="right" w:leader="dot" w:pos="9344"/>
        </w:tabs>
        <w:rPr>
          <w:rFonts w:asciiTheme="minorHAnsi" w:hAnsiTheme="minorHAnsi" w:eastAsiaTheme="minorEastAsia" w:cstheme="minorBidi"/>
          <w:szCs w:val="22"/>
        </w:rPr>
      </w:pPr>
      <w:r>
        <w:fldChar w:fldCharType="begin"/>
      </w:r>
      <w:r>
        <w:instrText xml:space="preserve"> HYPERLINK \l "_Toc129109176" </w:instrText>
      </w:r>
      <w:r>
        <w:fldChar w:fldCharType="separate"/>
      </w:r>
      <w:r>
        <w:rPr>
          <w:rStyle w:val="32"/>
        </w:rPr>
        <w:t>5  开放内容</w:t>
      </w:r>
      <w:r>
        <w:tab/>
      </w:r>
      <w:r>
        <w:fldChar w:fldCharType="begin"/>
      </w:r>
      <w:r>
        <w:instrText xml:space="preserve"> PAGEREF _Toc129109176 \h </w:instrText>
      </w:r>
      <w:r>
        <w:fldChar w:fldCharType="separate"/>
      </w:r>
      <w:r>
        <w:t>2</w:t>
      </w:r>
      <w:r>
        <w:fldChar w:fldCharType="end"/>
      </w:r>
      <w:r>
        <w:fldChar w:fldCharType="end"/>
      </w:r>
    </w:p>
    <w:p w14:paraId="6612CC59">
      <w:pPr>
        <w:pStyle w:val="19"/>
        <w:tabs>
          <w:tab w:val="right" w:leader="dot" w:pos="9344"/>
        </w:tabs>
        <w:rPr>
          <w:rFonts w:asciiTheme="minorHAnsi" w:hAnsiTheme="minorHAnsi" w:eastAsiaTheme="minorEastAsia" w:cstheme="minorBidi"/>
          <w:szCs w:val="22"/>
        </w:rPr>
      </w:pPr>
      <w:r>
        <w:fldChar w:fldCharType="begin"/>
      </w:r>
      <w:r>
        <w:instrText xml:space="preserve"> HYPERLINK \l "_Toc129109181" </w:instrText>
      </w:r>
      <w:r>
        <w:fldChar w:fldCharType="separate"/>
      </w:r>
      <w:r>
        <w:rPr>
          <w:rStyle w:val="32"/>
        </w:rPr>
        <w:t xml:space="preserve">6  </w:t>
      </w:r>
      <w:r>
        <w:rPr>
          <w:rStyle w:val="32"/>
          <w:rFonts w:hint="eastAsia"/>
        </w:rPr>
        <w:t>开放对象</w:t>
      </w:r>
      <w:r>
        <w:tab/>
      </w:r>
      <w:r>
        <w:fldChar w:fldCharType="begin"/>
      </w:r>
      <w:r>
        <w:instrText xml:space="preserve"> PAGEREF _Toc129109181 \h </w:instrText>
      </w:r>
      <w:r>
        <w:fldChar w:fldCharType="separate"/>
      </w:r>
      <w:r>
        <w:t>5</w:t>
      </w:r>
      <w:r>
        <w:fldChar w:fldCharType="end"/>
      </w:r>
      <w:r>
        <w:fldChar w:fldCharType="end"/>
      </w:r>
    </w:p>
    <w:p w14:paraId="7A3652C3">
      <w:pPr>
        <w:pStyle w:val="19"/>
        <w:tabs>
          <w:tab w:val="right" w:leader="dot" w:pos="9344"/>
        </w:tabs>
      </w:pPr>
      <w:r>
        <w:fldChar w:fldCharType="begin"/>
      </w:r>
      <w:r>
        <w:instrText xml:space="preserve"> HYPERLINK \l "_Toc129109182" </w:instrText>
      </w:r>
      <w:r>
        <w:fldChar w:fldCharType="separate"/>
      </w:r>
      <w:r>
        <w:rPr>
          <w:rStyle w:val="32"/>
        </w:rPr>
        <w:t xml:space="preserve">7  </w:t>
      </w:r>
      <w:r>
        <w:rPr>
          <w:rFonts w:hint="eastAsia"/>
        </w:rPr>
        <w:t>数据形式与质量要求</w:t>
      </w:r>
      <w:r>
        <w:tab/>
      </w:r>
      <w:r>
        <w:fldChar w:fldCharType="begin"/>
      </w:r>
      <w:r>
        <w:instrText xml:space="preserve"> PAGEREF _Toc129109182 \h </w:instrText>
      </w:r>
      <w:r>
        <w:fldChar w:fldCharType="separate"/>
      </w:r>
      <w:r>
        <w:t>5</w:t>
      </w:r>
      <w:r>
        <w:fldChar w:fldCharType="end"/>
      </w:r>
      <w:r>
        <w:fldChar w:fldCharType="end"/>
      </w:r>
    </w:p>
    <w:p w14:paraId="532AA8B1">
      <w:pPr>
        <w:pStyle w:val="19"/>
        <w:tabs>
          <w:tab w:val="right" w:leader="dot" w:pos="9344"/>
        </w:tabs>
      </w:pPr>
      <w:r>
        <w:fldChar w:fldCharType="begin"/>
      </w:r>
      <w:r>
        <w:instrText xml:space="preserve"> HYPERLINK \l "_Toc129109182" </w:instrText>
      </w:r>
      <w:r>
        <w:fldChar w:fldCharType="separate"/>
      </w:r>
      <w:r>
        <w:rPr>
          <w:rStyle w:val="32"/>
        </w:rPr>
        <w:t xml:space="preserve">8  </w:t>
      </w:r>
      <w:r>
        <w:rPr>
          <w:rStyle w:val="32"/>
          <w:rFonts w:hint="eastAsia"/>
        </w:rPr>
        <w:t>管理要求</w:t>
      </w:r>
      <w:r>
        <w:tab/>
      </w:r>
      <w:r>
        <w:fldChar w:fldCharType="begin"/>
      </w:r>
      <w:r>
        <w:instrText xml:space="preserve"> PAGEREF _Toc129109182 \h </w:instrText>
      </w:r>
      <w:r>
        <w:fldChar w:fldCharType="separate"/>
      </w:r>
      <w:r>
        <w:t>5</w:t>
      </w:r>
      <w:r>
        <w:fldChar w:fldCharType="end"/>
      </w:r>
      <w:r>
        <w:fldChar w:fldCharType="end"/>
      </w:r>
    </w:p>
    <w:p w14:paraId="4B9F1D76">
      <w:pPr>
        <w:widowControl/>
        <w:adjustRightInd/>
        <w:spacing w:line="240" w:lineRule="auto"/>
        <w:jc w:val="left"/>
      </w:pPr>
      <w:r>
        <w:br w:type="page"/>
      </w:r>
    </w:p>
    <w:p w14:paraId="68AEA932">
      <w:pPr>
        <w:pStyle w:val="89"/>
        <w:spacing w:before="0" w:after="468"/>
        <w:ind w:left="0" w:firstLine="0"/>
        <w:rPr>
          <w:rFonts w:ascii="Times New Roman"/>
        </w:rPr>
      </w:pPr>
      <w:bookmarkStart w:id="16" w:name="_Toc164666561"/>
      <w:r>
        <w:rPr>
          <w:rFonts w:ascii="Times New Roman"/>
          <w:spacing w:val="320"/>
        </w:rPr>
        <w:t>前</w:t>
      </w:r>
      <w:r>
        <w:rPr>
          <w:rFonts w:ascii="Times New Roman"/>
        </w:rPr>
        <w:t>言</w:t>
      </w:r>
      <w:bookmarkEnd w:id="16"/>
    </w:p>
    <w:p w14:paraId="0F9DC71F">
      <w:pPr>
        <w:pStyle w:val="56"/>
        <w:ind w:firstLine="420"/>
        <w:rPr>
          <w:rFonts w:ascii="Times New Roman"/>
        </w:rPr>
      </w:pPr>
      <w:r>
        <w:rPr>
          <w:rFonts w:ascii="Times New Roman"/>
        </w:rPr>
        <w:t>本文件按照GB/T 1.1—2020《标准化工作导则  第1部分：标准化文件的结构和起草规则》的规定起草。</w:t>
      </w:r>
    </w:p>
    <w:p w14:paraId="32ECAF94">
      <w:pPr>
        <w:pStyle w:val="56"/>
        <w:ind w:firstLine="420"/>
        <w:rPr>
          <w:rFonts w:ascii="Times New Roman"/>
        </w:rPr>
      </w:pPr>
      <w:r>
        <w:rPr>
          <w:rFonts w:hint="eastAsia"/>
        </w:rPr>
        <w:t>请注意本文件的某些内容可能涉及专利。本文件的发布机构不承担识别专利的责任。</w:t>
      </w:r>
    </w:p>
    <w:p w14:paraId="3D1886E6">
      <w:pPr>
        <w:pStyle w:val="56"/>
        <w:ind w:firstLine="420"/>
        <w:rPr>
          <w:rFonts w:ascii="Times New Roman"/>
        </w:rPr>
      </w:pPr>
      <w:r>
        <w:rPr>
          <w:rFonts w:ascii="Times New Roman"/>
        </w:rPr>
        <w:t>本文件由江苏省卫生</w:t>
      </w:r>
      <w:r>
        <w:rPr>
          <w:rFonts w:hint="eastAsia" w:ascii="Times New Roman"/>
        </w:rPr>
        <w:t>健康</w:t>
      </w:r>
      <w:r>
        <w:rPr>
          <w:rFonts w:ascii="Times New Roman"/>
        </w:rPr>
        <w:t>标准化技术委员会提出并归口。</w:t>
      </w:r>
    </w:p>
    <w:p w14:paraId="70FBFFFE">
      <w:pPr>
        <w:pStyle w:val="56"/>
        <w:ind w:firstLine="420"/>
        <w:rPr>
          <w:rFonts w:ascii="Times New Roman"/>
        </w:rPr>
      </w:pPr>
      <w:r>
        <w:rPr>
          <w:rFonts w:ascii="Times New Roman"/>
        </w:rPr>
        <w:t>本文件起草单位：</w:t>
      </w:r>
      <w:r>
        <w:rPr>
          <w:rFonts w:hint="eastAsia" w:ascii="Times New Roman"/>
        </w:rPr>
        <w:t>江苏省疾病预防控制中心，</w:t>
      </w:r>
      <w:r>
        <w:rPr>
          <w:rFonts w:ascii="Times New Roman"/>
        </w:rPr>
        <w:t>南京</w:t>
      </w:r>
      <w:r>
        <w:rPr>
          <w:rFonts w:hint="eastAsia" w:ascii="Times New Roman"/>
        </w:rPr>
        <w:t>市疾病预防控制中心，江苏省卫生健康信息中心，徐州丰县卫生健康委员会，盐城射阳市卫生健康委员会，国家卫生健康委项目资金监管中心、南京市雨花台区卫生健康委员会、南京市雨花台区城市数字治理中心、南京市雨花台区西善桥社区卫生服务中心、苏州市相城区第三人民医院、海南医科大学、深圳市疾病预防控制中心、广州市疾病预防控制中心、云南省疾病预防控制中心</w:t>
      </w:r>
      <w:r>
        <w:rPr>
          <w:rFonts w:ascii="Times New Roman"/>
        </w:rPr>
        <w:t>。</w:t>
      </w:r>
    </w:p>
    <w:p w14:paraId="0E989655">
      <w:pPr>
        <w:pStyle w:val="56"/>
        <w:ind w:firstLine="420"/>
        <w:rPr>
          <w:rFonts w:ascii="Times New Roman"/>
        </w:rPr>
      </w:pPr>
      <w:r>
        <w:rPr>
          <w:rFonts w:ascii="Times New Roman"/>
        </w:rPr>
        <w:t>本文件主要起草人：</w:t>
      </w:r>
      <w:r>
        <w:rPr>
          <w:rFonts w:hint="eastAsia" w:ascii="Times New Roman"/>
        </w:rPr>
        <w:t>沈雅、徐金水、沈征锴、王志勇、陆家发、史强、朱亚伯、王竞波、李晖、薛烽、赵金、崔益富、马庆华、刘玉梅、田冶、刘刚、利耀辉、田子颖。</w:t>
      </w:r>
    </w:p>
    <w:p w14:paraId="3140E7E6">
      <w:pPr>
        <w:rPr>
          <w:rFonts w:hint="eastAsia"/>
        </w:rPr>
      </w:pPr>
    </w:p>
    <w:p w14:paraId="3EB9DDF9">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titlePg/>
          <w:docGrid w:type="lines" w:linePitch="312" w:charSpace="0"/>
        </w:sectPr>
      </w:pPr>
      <w:r>
        <w:fldChar w:fldCharType="end"/>
      </w:r>
    </w:p>
    <w:bookmarkEnd w:id="15"/>
    <w:p w14:paraId="4539CFA8">
      <w:pPr>
        <w:spacing w:line="20" w:lineRule="exact"/>
        <w:jc w:val="center"/>
        <w:rPr>
          <w:rFonts w:ascii="黑体" w:hAnsi="黑体" w:eastAsia="黑体"/>
          <w:sz w:val="32"/>
          <w:szCs w:val="32"/>
        </w:rPr>
      </w:pPr>
      <w:bookmarkStart w:id="17" w:name="BookMark4"/>
    </w:p>
    <w:p w14:paraId="55E03154">
      <w:pPr>
        <w:spacing w:line="20" w:lineRule="exact"/>
        <w:jc w:val="center"/>
        <w:rPr>
          <w:rFonts w:ascii="黑体" w:hAnsi="黑体" w:eastAsia="黑体"/>
          <w:sz w:val="32"/>
          <w:szCs w:val="32"/>
        </w:rPr>
      </w:pPr>
    </w:p>
    <w:sdt>
      <w:sdtPr>
        <w:tag w:val="NEW_STAND_NAME"/>
        <w:id w:val="595910757"/>
        <w:lock w:val="sdtLocked"/>
        <w:placeholder>
          <w:docPart w:val="72E194FF8DCF483AB4CF11BD5ADD763E"/>
        </w:placeholder>
      </w:sdtPr>
      <w:sdtContent>
        <w:p w14:paraId="14D1406E">
          <w:pPr>
            <w:pStyle w:val="177"/>
          </w:pPr>
          <w:bookmarkStart w:id="18" w:name="NEW_STAND_NAME"/>
          <w:r>
            <w:rPr>
              <w:rFonts w:hint="eastAsia"/>
            </w:rPr>
            <w:t>居民健康档案开放规范</w:t>
          </w:r>
        </w:p>
      </w:sdtContent>
    </w:sdt>
    <w:bookmarkEnd w:id="18"/>
    <w:p w14:paraId="3AA1786E">
      <w:pPr>
        <w:pStyle w:val="104"/>
        <w:spacing w:before="312" w:after="312"/>
      </w:pPr>
      <w:bookmarkStart w:id="19" w:name="_Toc17233325"/>
      <w:bookmarkStart w:id="20" w:name="_Toc24884218"/>
      <w:bookmarkStart w:id="21" w:name="_Toc24884211"/>
      <w:bookmarkStart w:id="22" w:name="_Toc129109172"/>
      <w:bookmarkStart w:id="23" w:name="_Toc97191423"/>
      <w:bookmarkStart w:id="24" w:name="_Toc26986771"/>
      <w:bookmarkStart w:id="25" w:name="_Toc26648465"/>
      <w:bookmarkStart w:id="26" w:name="_Toc26718930"/>
      <w:bookmarkStart w:id="27" w:name="_Toc17233333"/>
      <w:bookmarkStart w:id="28" w:name="_Toc26986530"/>
      <w:r>
        <w:rPr>
          <w:rFonts w:hint="eastAsia"/>
        </w:rPr>
        <w:t>范围</w:t>
      </w:r>
      <w:bookmarkEnd w:id="19"/>
      <w:bookmarkEnd w:id="20"/>
      <w:bookmarkEnd w:id="21"/>
      <w:bookmarkEnd w:id="22"/>
      <w:bookmarkEnd w:id="23"/>
      <w:bookmarkEnd w:id="24"/>
      <w:bookmarkEnd w:id="25"/>
      <w:bookmarkEnd w:id="26"/>
      <w:bookmarkEnd w:id="27"/>
      <w:bookmarkEnd w:id="28"/>
    </w:p>
    <w:p w14:paraId="5F95DDD7">
      <w:pPr>
        <w:pStyle w:val="56"/>
        <w:ind w:firstLine="420"/>
      </w:pPr>
      <w:bookmarkStart w:id="29" w:name="_Toc17233326"/>
      <w:bookmarkStart w:id="30" w:name="_Toc17233334"/>
      <w:bookmarkStart w:id="31" w:name="_Toc24884219"/>
      <w:bookmarkStart w:id="32" w:name="_Toc26648466"/>
      <w:bookmarkStart w:id="33" w:name="_Toc24884212"/>
      <w:r>
        <w:rPr>
          <w:rFonts w:hint="eastAsia"/>
        </w:rPr>
        <w:t>本文件制定了居民健康档案开放的总体要求、开放内容、开放对象、数据形式与质量要求、管理要求等具体要求。</w:t>
      </w:r>
    </w:p>
    <w:p w14:paraId="136C5EB2">
      <w:pPr>
        <w:pStyle w:val="56"/>
        <w:ind w:firstLine="420"/>
      </w:pPr>
      <w:r>
        <w:rPr>
          <w:rFonts w:hint="eastAsia"/>
        </w:rPr>
        <w:t>本文件适用于各级卫生健康行政部门管理居民健康档案开放。</w:t>
      </w:r>
    </w:p>
    <w:p w14:paraId="3F79811F">
      <w:pPr>
        <w:pStyle w:val="104"/>
        <w:spacing w:before="312" w:after="312"/>
      </w:pPr>
      <w:bookmarkStart w:id="34" w:name="_Toc26718931"/>
      <w:bookmarkStart w:id="35" w:name="_Toc129109173"/>
      <w:bookmarkStart w:id="36" w:name="_Toc26986772"/>
      <w:bookmarkStart w:id="37" w:name="_Toc97191424"/>
      <w:bookmarkStart w:id="38" w:name="_Toc26986531"/>
      <w:r>
        <w:rPr>
          <w:rFonts w:hint="eastAsia"/>
        </w:rPr>
        <w:t>规范性引用文件</w:t>
      </w:r>
      <w:bookmarkEnd w:id="29"/>
      <w:bookmarkEnd w:id="30"/>
      <w:bookmarkEnd w:id="31"/>
      <w:bookmarkEnd w:id="32"/>
      <w:bookmarkEnd w:id="33"/>
      <w:bookmarkEnd w:id="34"/>
      <w:bookmarkEnd w:id="35"/>
      <w:bookmarkEnd w:id="36"/>
      <w:bookmarkEnd w:id="37"/>
      <w:bookmarkEnd w:id="38"/>
    </w:p>
    <w:sdt>
      <w:sdtPr>
        <w:rPr>
          <w:rFonts w:hint="eastAsia"/>
        </w:rPr>
        <w:id w:val="715848253"/>
        <w:placeholder>
          <w:docPart w:val="E1672512D59E431F83F53B0E2B03ADC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35B4D6A">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1EAF05D">
      <w:pPr>
        <w:pStyle w:val="56"/>
        <w:ind w:firstLine="420"/>
      </w:pPr>
      <w:r>
        <w:rPr>
          <w:rFonts w:hint="eastAsia"/>
        </w:rPr>
        <w:t>WS/T 448-2014</w:t>
      </w:r>
      <w:r>
        <w:t xml:space="preserve">  </w:t>
      </w:r>
      <w:r>
        <w:rPr>
          <w:rFonts w:hint="eastAsia"/>
        </w:rPr>
        <w:t>基于居民健康档案的区域卫生信息平台技术规范</w:t>
      </w:r>
    </w:p>
    <w:p w14:paraId="40330883">
      <w:pPr>
        <w:pStyle w:val="56"/>
        <w:ind w:firstLine="420"/>
      </w:pPr>
      <w:r>
        <w:rPr>
          <w:rFonts w:hint="eastAsia"/>
        </w:rPr>
        <w:t xml:space="preserve">WS/T 790-2021 </w:t>
      </w:r>
      <w:r>
        <w:t xml:space="preserve"> </w:t>
      </w:r>
      <w:r>
        <w:rPr>
          <w:rFonts w:hint="eastAsia"/>
        </w:rPr>
        <w:t>区域卫生信息平台交互标准</w:t>
      </w:r>
    </w:p>
    <w:p w14:paraId="00DA5C9D">
      <w:pPr>
        <w:pStyle w:val="56"/>
        <w:ind w:firstLine="420"/>
      </w:pPr>
      <w:r>
        <w:rPr>
          <w:rFonts w:hint="eastAsia"/>
        </w:rPr>
        <w:t>国家基本公共卫生服务规范（第三版）</w:t>
      </w:r>
    </w:p>
    <w:p w14:paraId="541FB067">
      <w:pPr>
        <w:pStyle w:val="104"/>
        <w:spacing w:before="312" w:after="312"/>
      </w:pPr>
      <w:bookmarkStart w:id="39" w:name="_Toc97191425"/>
      <w:bookmarkStart w:id="40" w:name="_Toc129109174"/>
      <w:r>
        <w:rPr>
          <w:rFonts w:hint="eastAsia"/>
          <w:szCs w:val="21"/>
        </w:rPr>
        <w:t>术语和定义</w:t>
      </w:r>
      <w:bookmarkEnd w:id="39"/>
      <w:bookmarkEnd w:id="40"/>
    </w:p>
    <w:sdt>
      <w:sdtPr>
        <w:id w:val="-1909835108"/>
        <w:placeholder>
          <w:docPart w:val="5C7C68291ECF42FA98C792789A0DD32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EBF3031">
          <w:pPr>
            <w:pStyle w:val="56"/>
            <w:ind w:firstLine="420"/>
          </w:pPr>
          <w:bookmarkStart w:id="41" w:name="_Toc26986532"/>
          <w:bookmarkEnd w:id="41"/>
          <w:r>
            <w:t>下列术语和定义适用于本文件。</w:t>
          </w:r>
        </w:p>
      </w:sdtContent>
    </w:sdt>
    <w:p w14:paraId="67A8A5C2">
      <w:pPr>
        <w:pStyle w:val="105"/>
        <w:spacing w:before="156" w:after="156"/>
        <w:rPr>
          <w:rFonts w:hAnsi="黑体"/>
        </w:rPr>
      </w:pPr>
      <w:r>
        <w:rPr>
          <w:rFonts w:hint="eastAsia" w:hAnsi="黑体"/>
        </w:rPr>
        <w:t>居民健康档案</w:t>
      </w:r>
      <w:r>
        <w:rPr>
          <w:rFonts w:hAnsi="黑体"/>
        </w:rPr>
        <w:t>Resident</w:t>
      </w:r>
      <w:r>
        <w:rPr>
          <w:szCs w:val="28"/>
        </w:rPr>
        <w:t>s'</w:t>
      </w:r>
      <w:r>
        <w:rPr>
          <w:rFonts w:hAnsi="黑体"/>
        </w:rPr>
        <w:t xml:space="preserve"> health records</w:t>
      </w:r>
    </w:p>
    <w:p w14:paraId="4BEBFB23">
      <w:pPr>
        <w:pStyle w:val="56"/>
        <w:ind w:firstLine="420"/>
      </w:pPr>
      <w:r>
        <w:rPr>
          <w:rFonts w:hint="eastAsia"/>
        </w:rPr>
        <w:t>记录每个人从出生到死亡的所有生命体征的变化，以及自身所从事过的与健康相关的一切行为与事件的档案。具体内容包括每个人的生活习惯、以往病史、诊治情况、家族病史、体检结果及疾病的发生、发展、治疗和转归的过程等。</w:t>
      </w:r>
    </w:p>
    <w:p w14:paraId="370E4AA0">
      <w:pPr>
        <w:pStyle w:val="105"/>
        <w:spacing w:before="156" w:after="156"/>
        <w:rPr>
          <w:rFonts w:hAnsi="黑体"/>
        </w:rPr>
      </w:pPr>
      <w:r>
        <w:rPr>
          <w:rFonts w:hint="eastAsia" w:hAnsi="黑体"/>
        </w:rPr>
        <w:t>居民健康</w:t>
      </w:r>
      <w:r>
        <w:rPr>
          <w:rFonts w:hint="eastAsia"/>
        </w:rPr>
        <w:t>档案</w:t>
      </w:r>
      <w:r>
        <w:rPr>
          <w:rFonts w:hint="eastAsia" w:hAnsi="黑体"/>
        </w:rPr>
        <w:t>开放</w:t>
      </w:r>
      <w:r>
        <w:rPr>
          <w:szCs w:val="28"/>
        </w:rPr>
        <w:t>Opening of residents' health records</w:t>
      </w:r>
    </w:p>
    <w:p w14:paraId="3A51BEF5">
      <w:pPr>
        <w:pStyle w:val="56"/>
        <w:ind w:firstLine="420"/>
      </w:pPr>
      <w:r>
        <w:rPr>
          <w:rFonts w:hint="eastAsia"/>
        </w:rPr>
        <w:t>在保障个人信息安全的前提下，根据各地基层信息化和电子健康档案建设水平以及居民健康服务实际需求，通过智能客户端、电视、APP、网站等形式开放，</w:t>
      </w:r>
      <w:r>
        <w:rPr>
          <w:rFonts w:ascii="Arial" w:hAnsi="Arial" w:cs="Arial"/>
          <w:color w:val="333333"/>
          <w:shd w:val="clear" w:color="auto" w:fill="FFFFFF"/>
        </w:rPr>
        <w:t>居民随时查询个人健康档案信息</w:t>
      </w:r>
      <w:r>
        <w:rPr>
          <w:rFonts w:hint="eastAsia" w:ascii="Arial" w:hAnsi="Arial" w:cs="Arial"/>
          <w:color w:val="333333"/>
          <w:shd w:val="clear" w:color="auto" w:fill="FFFFFF"/>
        </w:rPr>
        <w:t>、</w:t>
      </w:r>
      <w:r>
        <w:rPr>
          <w:rFonts w:ascii="Arial" w:hAnsi="Arial" w:cs="Arial"/>
          <w:color w:val="333333"/>
          <w:shd w:val="clear" w:color="auto" w:fill="FFFFFF"/>
        </w:rPr>
        <w:t>及时了解掌握个人健康状况</w:t>
      </w:r>
      <w:r>
        <w:rPr>
          <w:rFonts w:hint="eastAsia" w:ascii="Arial" w:hAnsi="Arial" w:cs="Arial"/>
          <w:color w:val="333333"/>
          <w:shd w:val="clear" w:color="auto" w:fill="FFFFFF"/>
        </w:rPr>
        <w:t>。</w:t>
      </w:r>
    </w:p>
    <w:p w14:paraId="6D1786E1">
      <w:pPr>
        <w:pStyle w:val="56"/>
        <w:ind w:firstLine="420"/>
      </w:pPr>
    </w:p>
    <w:p w14:paraId="3A9E69B0">
      <w:pPr>
        <w:pStyle w:val="104"/>
        <w:spacing w:before="312" w:after="312"/>
      </w:pPr>
      <w:r>
        <w:rPr>
          <w:rFonts w:hint="eastAsia"/>
        </w:rPr>
        <w:t>总体要求</w:t>
      </w:r>
    </w:p>
    <w:p w14:paraId="2DEA3C9F">
      <w:pPr>
        <w:pStyle w:val="56"/>
        <w:ind w:firstLine="420"/>
      </w:pPr>
      <w:r>
        <w:rPr>
          <w:rFonts w:hint="eastAsia"/>
        </w:rPr>
        <w:t>居民健康档案开放工作实行统一标准、分级管理。各级卫生健康行政部门负责辖区内居民健康档案开放工作的统筹规划、组织协调、统一制度、监督指导。居民常住地所在的乡镇卫生院、社区卫生服务中心（站）、村卫生室负责首次建立居民健康档案、更新信息、保存档案；其他医疗卫生机构负责将相关医疗卫生服务信息及时汇总、更新至居民健康档案。</w:t>
      </w:r>
    </w:p>
    <w:p w14:paraId="19E8288D">
      <w:pPr>
        <w:pStyle w:val="56"/>
        <w:ind w:firstLine="420"/>
      </w:pPr>
      <w:r>
        <w:rPr>
          <w:rFonts w:hint="eastAsia"/>
        </w:rPr>
        <w:t>各级基于居民健康档案的区域卫生信息平台应符合WS/T 448-2014、WS/T 790-2021，才可以通过各种形式对居民开放健康档案。</w:t>
      </w:r>
    </w:p>
    <w:p w14:paraId="10788DED">
      <w:pPr>
        <w:pStyle w:val="56"/>
        <w:ind w:firstLine="420"/>
      </w:pPr>
    </w:p>
    <w:p w14:paraId="1B081281">
      <w:pPr>
        <w:pStyle w:val="104"/>
        <w:spacing w:before="312" w:after="312"/>
      </w:pPr>
      <w:bookmarkStart w:id="42" w:name="_Toc129109176"/>
      <w:r>
        <w:rPr>
          <w:rFonts w:hint="eastAsia"/>
        </w:rPr>
        <w:t>开放内容</w:t>
      </w:r>
      <w:bookmarkEnd w:id="42"/>
    </w:p>
    <w:p w14:paraId="3B0CBA53">
      <w:pPr>
        <w:pStyle w:val="56"/>
        <w:ind w:firstLine="420"/>
        <w:rPr>
          <w:rFonts w:hint="eastAsia"/>
        </w:rPr>
      </w:pPr>
      <w:r>
        <w:rPr>
          <w:rFonts w:hint="eastAsia"/>
        </w:rPr>
        <w:t>下文中所有标</w:t>
      </w:r>
      <w:r>
        <w:t>*</w:t>
      </w:r>
      <w:r>
        <w:rPr>
          <w:rFonts w:hint="eastAsia"/>
        </w:rPr>
        <w:t>内容为可选项。</w:t>
      </w:r>
    </w:p>
    <w:p w14:paraId="1FBA9557">
      <w:pPr>
        <w:pStyle w:val="105"/>
        <w:spacing w:before="156" w:after="156"/>
      </w:pPr>
      <w:bookmarkStart w:id="43" w:name="_Toc129109177"/>
      <w:r>
        <w:rPr>
          <w:rFonts w:hint="eastAsia"/>
        </w:rPr>
        <w:t>基本健康信息</w:t>
      </w:r>
      <w:bookmarkEnd w:id="43"/>
    </w:p>
    <w:p w14:paraId="24C0A857">
      <w:pPr>
        <w:pStyle w:val="56"/>
        <w:ind w:firstLine="420"/>
        <w:rPr>
          <w:rFonts w:hint="eastAsia"/>
        </w:rPr>
      </w:pPr>
      <w:r>
        <w:rPr>
          <w:rFonts w:hint="eastAsia"/>
        </w:rPr>
        <w:t>主要包括人口学信息、健康管理信息、基础健康信息、家庭医生签约信息等内容。基本健康信息反映了个人固有特征，内容相对稳定、客观性强。</w:t>
      </w:r>
    </w:p>
    <w:p w14:paraId="53FFE01A">
      <w:pPr>
        <w:pStyle w:val="65"/>
        <w:spacing w:before="156" w:after="156"/>
      </w:pPr>
      <w:r>
        <w:rPr>
          <w:rFonts w:hint="eastAsia"/>
        </w:rPr>
        <w:t>人口学信息</w:t>
      </w:r>
    </w:p>
    <w:p w14:paraId="1A4539D0">
      <w:pPr>
        <w:pStyle w:val="56"/>
        <w:ind w:firstLine="420"/>
      </w:pPr>
      <w:r>
        <w:rPr>
          <w:rFonts w:hint="eastAsia"/>
        </w:rPr>
        <w:t>姓名、性别、出生日期、身份证号、现住址、工作单位、本人电话、联系人姓名、联系人电话</w:t>
      </w:r>
    </w:p>
    <w:p w14:paraId="08E96D55">
      <w:pPr>
        <w:pStyle w:val="65"/>
        <w:spacing w:before="156" w:after="156"/>
      </w:pPr>
      <w:r>
        <w:rPr>
          <w:rFonts w:hint="eastAsia"/>
        </w:rPr>
        <w:t>健康管理信息</w:t>
      </w:r>
    </w:p>
    <w:p w14:paraId="7E141B69">
      <w:pPr>
        <w:pStyle w:val="56"/>
        <w:ind w:firstLine="420"/>
      </w:pPr>
      <w:r>
        <w:rPr>
          <w:rFonts w:hint="eastAsia"/>
        </w:rPr>
        <w:t>档案编号、建档单位、建档单位联系电话、建档人、建档日期、责任医生</w:t>
      </w:r>
    </w:p>
    <w:p w14:paraId="646C7A90">
      <w:pPr>
        <w:pStyle w:val="65"/>
        <w:spacing w:before="156" w:after="156"/>
      </w:pPr>
      <w:r>
        <w:rPr>
          <w:rFonts w:hint="eastAsia"/>
        </w:rPr>
        <w:t>基础健康信息</w:t>
      </w:r>
    </w:p>
    <w:p w14:paraId="30A6C40D">
      <w:pPr>
        <w:pStyle w:val="56"/>
        <w:ind w:firstLine="420"/>
      </w:pPr>
      <w:r>
        <w:rPr>
          <w:rFonts w:hint="eastAsia"/>
        </w:rPr>
        <w:t>血型、接触史、药物过敏史、既往史（疾病史、手术史、外伤史、输血史、住院史*）、家族史、遗传病史、残疾情况</w:t>
      </w:r>
    </w:p>
    <w:p w14:paraId="08BBE31E">
      <w:pPr>
        <w:pStyle w:val="65"/>
        <w:spacing w:before="156" w:after="156"/>
      </w:pPr>
      <w:r>
        <w:rPr>
          <w:rFonts w:hint="eastAsia"/>
        </w:rPr>
        <w:t>家庭医生签约信息*</w:t>
      </w:r>
    </w:p>
    <w:p w14:paraId="08D29EBB">
      <w:pPr>
        <w:pStyle w:val="164"/>
        <w:ind w:left="0"/>
      </w:pPr>
      <w:r>
        <w:rPr>
          <w:rFonts w:hint="eastAsia"/>
        </w:rPr>
        <w:t>签约机构名称、签约机构团队名称、签约家庭医生、家庭医生联系电话、签约日期、签约有效期、签约家医服务包名称</w:t>
      </w:r>
    </w:p>
    <w:p w14:paraId="13201453">
      <w:pPr>
        <w:pStyle w:val="56"/>
        <w:ind w:firstLine="420"/>
      </w:pPr>
    </w:p>
    <w:p w14:paraId="50B863F5">
      <w:pPr>
        <w:pStyle w:val="105"/>
        <w:spacing w:before="156" w:after="156"/>
      </w:pPr>
      <w:bookmarkStart w:id="44" w:name="_Toc129109178"/>
      <w:r>
        <w:rPr>
          <w:rFonts w:hint="eastAsia"/>
        </w:rPr>
        <w:t>医疗服务</w:t>
      </w:r>
      <w:bookmarkEnd w:id="44"/>
    </w:p>
    <w:p w14:paraId="546D5E9A">
      <w:pPr>
        <w:pStyle w:val="56"/>
        <w:ind w:firstLine="420"/>
        <w:rPr>
          <w:rFonts w:hint="eastAsia"/>
        </w:rPr>
      </w:pPr>
      <w:r>
        <w:rPr>
          <w:rFonts w:hint="eastAsia"/>
        </w:rPr>
        <w:t>近三年内居民个人因疾病或健康问题所接受的相关医疗卫生服务活动基本情况的简要记录。</w:t>
      </w:r>
    </w:p>
    <w:p w14:paraId="4CDF837F">
      <w:pPr>
        <w:pStyle w:val="65"/>
        <w:spacing w:before="156" w:after="156"/>
      </w:pPr>
      <w:r>
        <w:rPr>
          <w:rFonts w:hint="eastAsia"/>
        </w:rPr>
        <w:t>门急诊记录</w:t>
      </w:r>
    </w:p>
    <w:p w14:paraId="35C482A4">
      <w:pPr>
        <w:pStyle w:val="56"/>
        <w:ind w:firstLine="420"/>
      </w:pPr>
      <w:r>
        <w:rPr>
          <w:rFonts w:hint="eastAsia"/>
        </w:rPr>
        <w:t>就诊日期、门急诊编号、主诉、现病史、诊断、诊断医生、就诊机构、就诊科室</w:t>
      </w:r>
    </w:p>
    <w:p w14:paraId="4ED4AFCF">
      <w:pPr>
        <w:pStyle w:val="65"/>
        <w:spacing w:before="156" w:after="156"/>
      </w:pPr>
      <w:r>
        <w:rPr>
          <w:rFonts w:hint="eastAsia"/>
        </w:rPr>
        <w:t>处方记录</w:t>
      </w:r>
    </w:p>
    <w:p w14:paraId="5069770F">
      <w:pPr>
        <w:pStyle w:val="94"/>
        <w:spacing w:before="156" w:after="156"/>
        <w:ind w:left="0"/>
      </w:pPr>
      <w:r>
        <w:rPr>
          <w:rFonts w:hint="eastAsia"/>
        </w:rPr>
        <w:t>门急诊处方信息</w:t>
      </w:r>
    </w:p>
    <w:p w14:paraId="25A4CCA9">
      <w:pPr>
        <w:pStyle w:val="56"/>
        <w:ind w:firstLine="420"/>
      </w:pPr>
      <w:r>
        <w:rPr>
          <w:rFonts w:hint="eastAsia"/>
        </w:rPr>
        <w:t>处方开立医生、处方开立日期、药物名称、药物剂型、药品规格、用药途径、用药剂量、用药频率</w:t>
      </w:r>
    </w:p>
    <w:p w14:paraId="602BBA51">
      <w:pPr>
        <w:pStyle w:val="65"/>
        <w:spacing w:before="156" w:after="156"/>
      </w:pPr>
      <w:r>
        <w:rPr>
          <w:rFonts w:hint="eastAsia"/>
        </w:rPr>
        <w:t>住院记录</w:t>
      </w:r>
    </w:p>
    <w:p w14:paraId="08979A82">
      <w:pPr>
        <w:pStyle w:val="56"/>
        <w:ind w:firstLine="420"/>
      </w:pPr>
      <w:r>
        <w:rPr>
          <w:rFonts w:hint="eastAsia"/>
        </w:rPr>
        <w:t>出院小结包括入院日期、出院日期、入院情况、入院诊断、诊疗经过、出院诊断、出院情况、出院医嘱、医师签名</w:t>
      </w:r>
    </w:p>
    <w:p w14:paraId="3B0F21FA">
      <w:pPr>
        <w:pStyle w:val="65"/>
        <w:spacing w:before="156" w:after="156"/>
      </w:pPr>
      <w:r>
        <w:rPr>
          <w:rFonts w:hint="eastAsia"/>
        </w:rPr>
        <w:t>检查记录</w:t>
      </w:r>
    </w:p>
    <w:p w14:paraId="4E9748DD">
      <w:pPr>
        <w:pStyle w:val="56"/>
        <w:ind w:firstLine="420"/>
      </w:pPr>
      <w:r>
        <w:rPr>
          <w:rFonts w:hint="eastAsia"/>
        </w:rPr>
        <w:t>门急诊号/住院号、检查报告单编号、姓名、性别、年龄、检查时间、检查部位、影像所见、诊断意见、报告医生、审核医生、报告时间</w:t>
      </w:r>
    </w:p>
    <w:p w14:paraId="1CD32658">
      <w:pPr>
        <w:pStyle w:val="65"/>
        <w:spacing w:before="156" w:after="156"/>
      </w:pPr>
      <w:r>
        <w:rPr>
          <w:rFonts w:hint="eastAsia"/>
        </w:rPr>
        <w:t>检验记录</w:t>
      </w:r>
    </w:p>
    <w:p w14:paraId="6B72D28F">
      <w:pPr>
        <w:pStyle w:val="56"/>
        <w:ind w:firstLine="420"/>
      </w:pPr>
      <w:r>
        <w:rPr>
          <w:rFonts w:hint="eastAsia"/>
        </w:rPr>
        <w:t>门急诊号/住院号、检验报告单编号、姓名、性别、年龄、送检时间、标本类型、检验项目、检验结果、参考值、送检医生、报告时间、检验者、审核者</w:t>
      </w:r>
    </w:p>
    <w:p w14:paraId="297A78DC">
      <w:pPr>
        <w:pStyle w:val="94"/>
        <w:numPr>
          <w:ilvl w:val="2"/>
          <w:numId w:val="32"/>
        </w:numPr>
        <w:spacing w:before="156" w:after="156"/>
      </w:pPr>
      <w:r>
        <w:t xml:space="preserve"> </w:t>
      </w:r>
      <w:r>
        <w:rPr>
          <w:rFonts w:hint="eastAsia"/>
        </w:rPr>
        <w:t>转诊记录</w:t>
      </w:r>
    </w:p>
    <w:p w14:paraId="5A7B6770">
      <w:pPr>
        <w:pStyle w:val="56"/>
        <w:ind w:firstLine="420"/>
      </w:pPr>
      <w:r>
        <w:rPr>
          <w:rFonts w:hint="eastAsia"/>
        </w:rPr>
        <w:t>双向转诊转出单：申请转诊机构、申请科室*、转诊医生、申请转诊日期；接受转诊机构、接受转诊科室*、初步印象、主要现病史（转出原因）、主要既往史、治疗经过、接受转诊日期</w:t>
      </w:r>
    </w:p>
    <w:p w14:paraId="4B3C1385">
      <w:pPr>
        <w:pStyle w:val="56"/>
        <w:ind w:firstLine="420"/>
      </w:pPr>
      <w:r>
        <w:rPr>
          <w:rFonts w:hint="eastAsia"/>
        </w:rPr>
        <w:t>双向转诊回转单：接受转回机构、接受转回医生、申请转回医生、申请转回日期；申请转回机构、诊断结果、主要检查结果、治疗经过、下一步治疗方案及康复建议、接受转回日期</w:t>
      </w:r>
    </w:p>
    <w:p w14:paraId="2F04BAED">
      <w:pPr>
        <w:pStyle w:val="56"/>
        <w:ind w:firstLine="420"/>
      </w:pPr>
    </w:p>
    <w:p w14:paraId="6383DD0E">
      <w:pPr>
        <w:pStyle w:val="105"/>
        <w:spacing w:before="156" w:after="156"/>
      </w:pPr>
      <w:bookmarkStart w:id="45" w:name="_Toc129109179"/>
      <w:r>
        <w:rPr>
          <w:rFonts w:hint="eastAsia"/>
        </w:rPr>
        <w:t>体检报告</w:t>
      </w:r>
      <w:bookmarkEnd w:id="45"/>
    </w:p>
    <w:p w14:paraId="0F7A1B81">
      <w:pPr>
        <w:pStyle w:val="56"/>
        <w:ind w:firstLine="420"/>
      </w:pPr>
      <w:r>
        <w:rPr>
          <w:rFonts w:hint="eastAsia"/>
        </w:rPr>
        <w:t>文中提及体检报告内容为《国家基本公共卫生服务规范（第三版）》中基层医疗卫生机构的健康体检要求，包括一般健康检查、生活方式、健康状况及其疾病用药情况、健康评价等。若为二级以上医疗机构提供的体检服务，按照本机构的体检报告上传体检内容。</w:t>
      </w:r>
    </w:p>
    <w:p w14:paraId="3806AFC3">
      <w:pPr>
        <w:pStyle w:val="56"/>
        <w:ind w:firstLine="420"/>
        <w:rPr>
          <w:rFonts w:hint="eastAsia"/>
        </w:rPr>
      </w:pPr>
    </w:p>
    <w:p w14:paraId="54C43C73">
      <w:pPr>
        <w:pStyle w:val="65"/>
        <w:spacing w:before="156" w:after="156"/>
      </w:pPr>
      <w:r>
        <w:rPr>
          <w:rFonts w:hint="eastAsia"/>
        </w:rPr>
        <w:t>基本信息</w:t>
      </w:r>
    </w:p>
    <w:p w14:paraId="074FE3DE">
      <w:pPr>
        <w:pStyle w:val="56"/>
        <w:ind w:firstLine="420"/>
      </w:pPr>
      <w:r>
        <w:rPr>
          <w:rFonts w:hint="eastAsia"/>
        </w:rPr>
        <w:t xml:space="preserve">  姓名、编号、体检日期、体检机构</w:t>
      </w:r>
    </w:p>
    <w:p w14:paraId="1EE57831">
      <w:pPr>
        <w:pStyle w:val="65"/>
        <w:spacing w:before="156" w:after="156"/>
      </w:pPr>
      <w:r>
        <w:rPr>
          <w:rFonts w:hint="eastAsia"/>
        </w:rPr>
        <w:t>检查内容</w:t>
      </w:r>
    </w:p>
    <w:p w14:paraId="6440C0A6">
      <w:pPr>
        <w:pStyle w:val="94"/>
        <w:spacing w:before="156" w:after="156"/>
        <w:ind w:left="0"/>
      </w:pPr>
      <w:r>
        <w:rPr>
          <w:rFonts w:hint="eastAsia"/>
        </w:rPr>
        <w:t xml:space="preserve">症状 </w:t>
      </w:r>
    </w:p>
    <w:p w14:paraId="232B79C5">
      <w:pPr>
        <w:pStyle w:val="56"/>
        <w:ind w:firstLine="420"/>
      </w:pPr>
      <w:r>
        <w:rPr>
          <w:rFonts w:hint="eastAsia"/>
        </w:rPr>
        <w:t>无症状、头痛、头晕、心悸、胸闷、胸痛、慢性咳嗽、咳痰、呼吸困难、多饮、多尿、体重下降、乏力、关节肿痛、视力模糊、手脚麻木、尿急、尿痛、便秘、腹泻、恶心呕吐、眼花、耳鸣、乳房胀痛、其他</w:t>
      </w:r>
    </w:p>
    <w:p w14:paraId="55EB4FC2">
      <w:pPr>
        <w:pStyle w:val="94"/>
        <w:spacing w:before="156" w:after="156"/>
        <w:ind w:left="0"/>
      </w:pPr>
      <w:r>
        <w:rPr>
          <w:rFonts w:hint="eastAsia"/>
        </w:rPr>
        <w:t xml:space="preserve">一般状况 </w:t>
      </w:r>
    </w:p>
    <w:p w14:paraId="3F5FB379">
      <w:pPr>
        <w:pStyle w:val="56"/>
        <w:ind w:firstLine="420"/>
      </w:pPr>
      <w:r>
        <w:rPr>
          <w:rFonts w:hint="eastAsia"/>
        </w:rPr>
        <w:t xml:space="preserve">  体温、脉率、呼吸频率、血压、身高、体重、腰围、体质指数</w:t>
      </w:r>
    </w:p>
    <w:p w14:paraId="5574F54F">
      <w:pPr>
        <w:pStyle w:val="94"/>
        <w:spacing w:before="156" w:after="156"/>
        <w:ind w:left="0"/>
      </w:pPr>
      <w:r>
        <w:rPr>
          <w:rFonts w:hint="eastAsia"/>
        </w:rPr>
        <w:t>生活方式</w:t>
      </w:r>
    </w:p>
    <w:p w14:paraId="02F3B510">
      <w:pPr>
        <w:pStyle w:val="56"/>
        <w:ind w:firstLine="420"/>
      </w:pPr>
      <w:r>
        <w:rPr>
          <w:rFonts w:hint="eastAsia"/>
        </w:rPr>
        <w:t xml:space="preserve">  体育锻炼、饮食习惯、吸烟情况、饮酒情况、职业病危害因素接触史</w:t>
      </w:r>
    </w:p>
    <w:p w14:paraId="5A75E6BA">
      <w:pPr>
        <w:pStyle w:val="94"/>
        <w:spacing w:before="156" w:after="156"/>
        <w:ind w:left="0"/>
      </w:pPr>
      <w:r>
        <w:rPr>
          <w:rFonts w:hint="eastAsia"/>
        </w:rPr>
        <w:t>脏器功能</w:t>
      </w:r>
    </w:p>
    <w:p w14:paraId="78214516">
      <w:pPr>
        <w:pStyle w:val="56"/>
        <w:ind w:firstLine="420"/>
      </w:pPr>
      <w:r>
        <w:rPr>
          <w:rFonts w:hint="eastAsia"/>
        </w:rPr>
        <w:t xml:space="preserve">  口腔、视力、听力、运动功能</w:t>
      </w:r>
    </w:p>
    <w:p w14:paraId="2F6453D4">
      <w:pPr>
        <w:pStyle w:val="94"/>
        <w:spacing w:before="156" w:after="156"/>
        <w:ind w:left="0"/>
      </w:pPr>
      <w:r>
        <w:rPr>
          <w:rFonts w:hint="eastAsia"/>
        </w:rPr>
        <w:t>查体</w:t>
      </w:r>
    </w:p>
    <w:p w14:paraId="36F0C927">
      <w:pPr>
        <w:pStyle w:val="56"/>
        <w:ind w:firstLine="420"/>
      </w:pPr>
      <w:r>
        <w:rPr>
          <w:rFonts w:hint="eastAsia"/>
        </w:rPr>
        <w:t xml:space="preserve">  眼底、皮肤、巩膜、淋巴结、肺、心脏、腹部、下肢水肿、足背动脉搏动*、肛门指诊*、乳腺*、妇科*（外阴、阴道、宫颈、宫体、附件）、其他*</w:t>
      </w:r>
    </w:p>
    <w:p w14:paraId="4E61AE8A">
      <w:pPr>
        <w:pStyle w:val="94"/>
        <w:spacing w:before="156" w:after="156"/>
        <w:ind w:left="0"/>
      </w:pPr>
      <w:r>
        <w:rPr>
          <w:rFonts w:hint="eastAsia"/>
        </w:rPr>
        <w:t>辅助检查</w:t>
      </w:r>
    </w:p>
    <w:p w14:paraId="1471C804">
      <w:pPr>
        <w:pStyle w:val="56"/>
        <w:ind w:firstLine="420"/>
      </w:pPr>
      <w:r>
        <w:rPr>
          <w:rFonts w:hint="eastAsia"/>
        </w:rPr>
        <w:t xml:space="preserve">  血常规*、尿常规*、空腹血糖*、心电图*、尿微量白蛋白*、大便隐血*、糖化血红蛋白*、乙型肝炎表面抗原*、肝功能*、肾功能*、血脂*、胸部x线胸片*、B超*、宫颈涂片*、其他*</w:t>
      </w:r>
    </w:p>
    <w:p w14:paraId="6C12F9CC">
      <w:pPr>
        <w:pStyle w:val="94"/>
        <w:spacing w:before="156" w:after="156"/>
        <w:ind w:left="0"/>
      </w:pPr>
      <w:r>
        <w:rPr>
          <w:rFonts w:hint="eastAsia"/>
        </w:rPr>
        <w:t>现存主要健康问题</w:t>
      </w:r>
    </w:p>
    <w:p w14:paraId="7D74E1D6">
      <w:pPr>
        <w:pStyle w:val="56"/>
        <w:ind w:firstLine="420"/>
      </w:pPr>
      <w:r>
        <w:rPr>
          <w:rFonts w:hint="eastAsia"/>
        </w:rPr>
        <w:t xml:space="preserve">  脑血管疾病、肾脏疾病、心脏疾病、血管疾病、眼部疾病、神经系统疾病、其他系统疾病</w:t>
      </w:r>
    </w:p>
    <w:p w14:paraId="0808B71F">
      <w:pPr>
        <w:pStyle w:val="94"/>
        <w:spacing w:before="156" w:after="156"/>
        <w:ind w:left="0"/>
      </w:pPr>
      <w:r>
        <w:rPr>
          <w:rFonts w:hint="eastAsia"/>
        </w:rPr>
        <w:t xml:space="preserve">健康评价 </w:t>
      </w:r>
    </w:p>
    <w:p w14:paraId="5165D4C9">
      <w:pPr>
        <w:pStyle w:val="56"/>
        <w:ind w:firstLine="420"/>
      </w:pPr>
      <w:r>
        <w:rPr>
          <w:rFonts w:hint="eastAsia"/>
        </w:rPr>
        <w:t xml:space="preserve">  体检无异常、有异常</w:t>
      </w:r>
    </w:p>
    <w:p w14:paraId="4AA10985">
      <w:pPr>
        <w:pStyle w:val="94"/>
        <w:spacing w:before="156" w:after="156"/>
        <w:ind w:left="0"/>
      </w:pPr>
      <w:r>
        <w:rPr>
          <w:rFonts w:hint="eastAsia"/>
        </w:rPr>
        <w:t>健康指导</w:t>
      </w:r>
      <w:r>
        <w:rPr>
          <w:rFonts w:hint="eastAsia"/>
        </w:rPr>
        <w:tab/>
      </w:r>
      <w:r>
        <w:rPr>
          <w:rFonts w:hint="eastAsia"/>
        </w:rPr>
        <w:t xml:space="preserve">                        </w:t>
      </w:r>
    </w:p>
    <w:p w14:paraId="1EF71FBD">
      <w:pPr>
        <w:pStyle w:val="56"/>
        <w:ind w:firstLine="420"/>
      </w:pPr>
      <w:r>
        <w:rPr>
          <w:rFonts w:hint="eastAsia"/>
        </w:rPr>
        <w:t>纳入慢性病患者健康管理、建议复查、建议转诊</w:t>
      </w:r>
    </w:p>
    <w:p w14:paraId="41DD9909">
      <w:pPr>
        <w:pStyle w:val="94"/>
        <w:spacing w:before="156" w:after="156"/>
        <w:ind w:left="0"/>
      </w:pPr>
      <w:r>
        <w:rPr>
          <w:rFonts w:hint="eastAsia"/>
        </w:rPr>
        <w:t>危险因素控制</w:t>
      </w:r>
    </w:p>
    <w:p w14:paraId="1ED9EDFA">
      <w:pPr>
        <w:pStyle w:val="56"/>
        <w:ind w:firstLine="420"/>
      </w:pPr>
      <w:r>
        <w:rPr>
          <w:rFonts w:hint="eastAsia"/>
        </w:rPr>
        <w:t>戒烟、健康饮酒、饮食、锻炼、减体重、建议接种疫苗、其他</w:t>
      </w:r>
    </w:p>
    <w:p w14:paraId="5D2D6FAA">
      <w:pPr>
        <w:pStyle w:val="56"/>
        <w:ind w:firstLine="420"/>
      </w:pPr>
      <w:r>
        <w:t xml:space="preserve">                  </w:t>
      </w:r>
    </w:p>
    <w:p w14:paraId="3321C7DE">
      <w:pPr>
        <w:pStyle w:val="105"/>
        <w:spacing w:before="156" w:after="156"/>
      </w:pPr>
      <w:bookmarkStart w:id="46" w:name="_Toc129109180"/>
      <w:r>
        <w:rPr>
          <w:rFonts w:hint="eastAsia"/>
        </w:rPr>
        <w:t>公共卫生服务</w:t>
      </w:r>
      <w:bookmarkEnd w:id="46"/>
    </w:p>
    <w:p w14:paraId="31FD53D6">
      <w:pPr>
        <w:pStyle w:val="65"/>
        <w:spacing w:before="156" w:after="156"/>
      </w:pPr>
      <w:r>
        <w:rPr>
          <w:rFonts w:hint="eastAsia"/>
        </w:rPr>
        <w:t>预防接种</w:t>
      </w:r>
    </w:p>
    <w:p w14:paraId="5E85F775">
      <w:pPr>
        <w:pStyle w:val="94"/>
        <w:spacing w:before="156" w:after="156"/>
        <w:ind w:left="0"/>
      </w:pPr>
      <w:r>
        <w:rPr>
          <w:rFonts w:hint="eastAsia"/>
        </w:rPr>
        <w:t>免疫规划预防接种信息</w:t>
      </w:r>
    </w:p>
    <w:p w14:paraId="54731E9E">
      <w:pPr>
        <w:pStyle w:val="56"/>
        <w:ind w:firstLine="420"/>
      </w:pPr>
      <w:r>
        <w:rPr>
          <w:rFonts w:hint="eastAsia"/>
        </w:rPr>
        <w:t>接种证编号*、儿童身份证*、儿童姓名、性别、出生日期、父亲/母亲姓名*、父亲/母亲电话、接种日期、疫苗名称、疫苗批号*、疫苗生产企业、接种组织形式*、接种途径*、接种部位、剂次、接种机构、接种人员</w:t>
      </w:r>
    </w:p>
    <w:p w14:paraId="5F6A6871">
      <w:pPr>
        <w:pStyle w:val="94"/>
        <w:spacing w:before="156" w:after="156"/>
        <w:ind w:left="0"/>
      </w:pPr>
      <w:r>
        <w:rPr>
          <w:rFonts w:hint="eastAsia"/>
        </w:rPr>
        <w:t>非免疫规划预防接种信息</w:t>
      </w:r>
    </w:p>
    <w:p w14:paraId="7E5BA2C6">
      <w:pPr>
        <w:pStyle w:val="56"/>
        <w:ind w:firstLine="420"/>
      </w:pPr>
      <w:r>
        <w:rPr>
          <w:rFonts w:hint="eastAsia"/>
        </w:rPr>
        <w:t xml:space="preserve">疫苗名称、针次、接种机构、接种日期 </w:t>
      </w:r>
    </w:p>
    <w:p w14:paraId="233D3564">
      <w:pPr>
        <w:pStyle w:val="65"/>
        <w:spacing w:before="156" w:after="156"/>
      </w:pPr>
      <w:r>
        <w:rPr>
          <w:rFonts w:hint="eastAsia"/>
        </w:rPr>
        <w:t>老年人健康管理</w:t>
      </w:r>
    </w:p>
    <w:p w14:paraId="7E35F0A7">
      <w:pPr>
        <w:pStyle w:val="94"/>
        <w:spacing w:before="156" w:after="156"/>
        <w:ind w:left="0"/>
      </w:pPr>
      <w:r>
        <w:rPr>
          <w:rFonts w:hint="eastAsia"/>
        </w:rPr>
        <w:t>老年人健康状态自我评估情况*</w:t>
      </w:r>
    </w:p>
    <w:p w14:paraId="765E20C3">
      <w:pPr>
        <w:pStyle w:val="56"/>
        <w:ind w:firstLine="420"/>
      </w:pPr>
      <w:r>
        <w:rPr>
          <w:rFonts w:hint="eastAsia"/>
        </w:rPr>
        <w:t>满意、基本满意、说不清楚、不太满意、不满意</w:t>
      </w:r>
    </w:p>
    <w:p w14:paraId="141BE0D6">
      <w:pPr>
        <w:pStyle w:val="94"/>
        <w:spacing w:before="156" w:after="156"/>
        <w:ind w:left="0"/>
      </w:pPr>
      <w:r>
        <w:rPr>
          <w:rFonts w:hint="eastAsia"/>
        </w:rPr>
        <w:t>老年人生活自理能力评估</w:t>
      </w:r>
    </w:p>
    <w:p w14:paraId="0C8D3F4C">
      <w:pPr>
        <w:pStyle w:val="56"/>
        <w:ind w:firstLine="420"/>
      </w:pPr>
      <w:r>
        <w:rPr>
          <w:rFonts w:hint="eastAsia"/>
        </w:rPr>
        <w:t>可自理、轻度依赖、中度依赖、不能自理</w:t>
      </w:r>
    </w:p>
    <w:p w14:paraId="21C1FA03">
      <w:pPr>
        <w:pStyle w:val="94"/>
        <w:spacing w:before="156" w:after="156"/>
        <w:ind w:left="0"/>
      </w:pPr>
      <w:r>
        <w:rPr>
          <w:rFonts w:hint="eastAsia"/>
        </w:rPr>
        <w:t>老年人认知功能情况</w:t>
      </w:r>
    </w:p>
    <w:p w14:paraId="29A10FCC">
      <w:pPr>
        <w:pStyle w:val="56"/>
        <w:ind w:firstLine="420"/>
      </w:pPr>
      <w:r>
        <w:rPr>
          <w:rFonts w:hint="eastAsia"/>
        </w:rPr>
        <w:t>粗筛阴性、粗筛阳性</w:t>
      </w:r>
    </w:p>
    <w:p w14:paraId="22E7BC42">
      <w:pPr>
        <w:pStyle w:val="94"/>
        <w:spacing w:before="156" w:after="156"/>
        <w:ind w:left="0"/>
      </w:pPr>
      <w:r>
        <w:rPr>
          <w:rFonts w:hint="eastAsia"/>
        </w:rPr>
        <w:t>老年人情感状态</w:t>
      </w:r>
    </w:p>
    <w:p w14:paraId="2F2DFDD4">
      <w:pPr>
        <w:pStyle w:val="56"/>
        <w:ind w:firstLine="420"/>
      </w:pPr>
      <w:r>
        <w:rPr>
          <w:rFonts w:hint="eastAsia"/>
        </w:rPr>
        <w:t>粗筛阴性、粗筛阳性</w:t>
      </w:r>
    </w:p>
    <w:p w14:paraId="126F7D4B">
      <w:pPr>
        <w:pStyle w:val="94"/>
        <w:spacing w:before="156" w:after="156"/>
        <w:ind w:left="0"/>
      </w:pPr>
      <w:r>
        <w:rPr>
          <w:rFonts w:hint="eastAsia"/>
        </w:rPr>
        <w:t>老年人中医药健康管理记录*</w:t>
      </w:r>
    </w:p>
    <w:p w14:paraId="5A266077">
      <w:pPr>
        <w:pStyle w:val="56"/>
        <w:ind w:firstLine="420"/>
      </w:pPr>
      <w:r>
        <w:rPr>
          <w:rFonts w:hint="eastAsia"/>
        </w:rPr>
        <w:t>体质类型、中医药保健指导</w:t>
      </w:r>
    </w:p>
    <w:p w14:paraId="0D4F943E">
      <w:pPr>
        <w:pStyle w:val="65"/>
        <w:spacing w:before="156" w:after="156"/>
      </w:pPr>
      <w:r>
        <w:rPr>
          <w:rFonts w:hint="eastAsia"/>
        </w:rPr>
        <w:t xml:space="preserve">高血压患者健康管理  </w:t>
      </w:r>
    </w:p>
    <w:p w14:paraId="40F6CE4A">
      <w:pPr>
        <w:pStyle w:val="94"/>
        <w:spacing w:before="156" w:after="156"/>
        <w:ind w:left="0"/>
      </w:pPr>
      <w:r>
        <w:rPr>
          <w:rFonts w:hint="eastAsia"/>
        </w:rPr>
        <w:t>高血压患者随访</w:t>
      </w:r>
    </w:p>
    <w:p w14:paraId="5754B676">
      <w:pPr>
        <w:pStyle w:val="56"/>
        <w:ind w:firstLine="420"/>
      </w:pPr>
      <w:r>
        <w:rPr>
          <w:rFonts w:hint="eastAsia"/>
        </w:rPr>
        <w:t>姓名、编号、随访日期、症状（无症状、头痛头晕、恶心呕吐、眼花耳鸣、呼吸困难、心悸胸闷、鼻衄出血不止、四肢发麻、下肢水肿）、体征（血压、体重、体质指数、心率、其他）、生活方式指导（日吸烟量、日饮酒量、运动、摄盐情况、心理调整、遵医行为）、辅助检查、服药依从性、药物不良反应、此次随访分类、用药情况（药物名称、用法用量）、转诊（原因、机构及科别）、下次随访日期、随访医生签名</w:t>
      </w:r>
    </w:p>
    <w:p w14:paraId="67E8B4F1">
      <w:pPr>
        <w:pStyle w:val="65"/>
        <w:spacing w:before="156" w:after="156"/>
      </w:pPr>
      <w:r>
        <w:rPr>
          <w:rFonts w:hint="eastAsia"/>
        </w:rPr>
        <w:t>2型糖尿病患者健康管理</w:t>
      </w:r>
    </w:p>
    <w:p w14:paraId="657266DA">
      <w:pPr>
        <w:pStyle w:val="94"/>
        <w:spacing w:before="156" w:after="156"/>
        <w:ind w:left="0"/>
      </w:pPr>
      <w:r>
        <w:rPr>
          <w:rFonts w:hint="eastAsia"/>
        </w:rPr>
        <w:t>2型糖尿病患者随访</w:t>
      </w:r>
    </w:p>
    <w:p w14:paraId="70E0A936">
      <w:pPr>
        <w:pStyle w:val="56"/>
        <w:ind w:firstLine="420"/>
      </w:pPr>
      <w:r>
        <w:rPr>
          <w:rFonts w:hint="eastAsia"/>
        </w:rPr>
        <w:t>姓名、编号、随访日期、随访方式、症状（无症状、多饮、多食、多尿、视力模糊、感染、手脚麻木、下肢浮肿、体重明显下降）、体征（血压、体重、体质指数、足背动脉搏动、其他）、生活方式指导（日吸烟量、日饮酒量、运动、主食、心理调整、遵医行为）、辅助检查（空腹血糖值、其他检查）、服药依从性、药物不良反应、低血糖反应、此次随访分类、用药情况（药物名称、用法用量、胰岛素）、转诊（原因、机构及科别）、下次随访日期、随访医生签名</w:t>
      </w:r>
    </w:p>
    <w:p w14:paraId="042FB351">
      <w:pPr>
        <w:pStyle w:val="56"/>
        <w:ind w:firstLine="420"/>
      </w:pPr>
    </w:p>
    <w:p w14:paraId="2D40597C">
      <w:pPr>
        <w:pStyle w:val="56"/>
        <w:ind w:firstLine="420"/>
        <w:rPr>
          <w:rFonts w:hint="eastAsia"/>
        </w:rPr>
      </w:pPr>
      <w:r>
        <w:rPr>
          <w:rFonts w:hint="eastAsia"/>
        </w:rPr>
        <w:t>开放方式：在保障个人信息安全的前提下，开放居民个人基本信息及近三年医疗卫生信息和公共卫生服务记录。</w:t>
      </w:r>
    </w:p>
    <w:p w14:paraId="63CAC1FA">
      <w:pPr>
        <w:pStyle w:val="56"/>
        <w:ind w:firstLine="420"/>
        <w:rPr>
          <w:rFonts w:hint="eastAsia"/>
        </w:rPr>
      </w:pPr>
    </w:p>
    <w:p w14:paraId="34FED489">
      <w:pPr>
        <w:pStyle w:val="104"/>
        <w:spacing w:before="312" w:after="312"/>
      </w:pPr>
      <w:r>
        <w:rPr>
          <w:rFonts w:hint="eastAsia"/>
        </w:rPr>
        <w:t>开放对象</w:t>
      </w:r>
    </w:p>
    <w:p w14:paraId="10A7D009">
      <w:pPr>
        <w:pStyle w:val="56"/>
        <w:ind w:firstLine="420"/>
      </w:pPr>
      <w:r>
        <w:rPr>
          <w:rFonts w:hint="eastAsia"/>
        </w:rPr>
        <w:t>居民健康档案的开放对象为辖区内常住居民（居住半年以上的户籍及非户籍居民）及其健康档案授权人。</w:t>
      </w:r>
    </w:p>
    <w:p w14:paraId="736B4921">
      <w:pPr>
        <w:pStyle w:val="104"/>
        <w:spacing w:before="312" w:after="312"/>
      </w:pPr>
      <w:r>
        <w:rPr>
          <w:rFonts w:hint="eastAsia"/>
        </w:rPr>
        <w:t>数据形式与质量要求</w:t>
      </w:r>
    </w:p>
    <w:p w14:paraId="5BB6A242">
      <w:pPr>
        <w:pStyle w:val="105"/>
        <w:spacing w:before="156" w:after="156"/>
      </w:pPr>
      <w:r>
        <w:rPr>
          <w:rFonts w:hint="eastAsia"/>
        </w:rPr>
        <w:t>数据隐私保护</w:t>
      </w:r>
    </w:p>
    <w:p w14:paraId="32902CFE">
      <w:pPr>
        <w:pStyle w:val="56"/>
        <w:ind w:firstLine="420"/>
      </w:pPr>
      <w:r>
        <w:rPr>
          <w:rFonts w:hint="eastAsia"/>
        </w:rPr>
        <w:t>开放健康档案应利用人脸、指纹等生物特征或向健康档案联系人手机号码发送短信验证码等身份认证方式，授权居民个人登陆查询。具有医务人员访问权限管理机制，健康档案需经授权后调阅，应对姓名、身份证、电话号码等关键信息匿名化处理，并留存访问记录。居民可对健康档案查询权限和隐私进行设置，包括姓名、身份证、手机号、单次就诊记录等信息进行全部或部分内容屏蔽隐藏。具备数据访问警示功能，医生访问居民档案数据时，通过短信等方式发送访问记录至相应居民。</w:t>
      </w:r>
    </w:p>
    <w:p w14:paraId="3083161E">
      <w:pPr>
        <w:pStyle w:val="56"/>
        <w:ind w:firstLine="420"/>
      </w:pPr>
    </w:p>
    <w:p w14:paraId="123F066F">
      <w:pPr>
        <w:pStyle w:val="105"/>
        <w:spacing w:before="156" w:after="156"/>
      </w:pPr>
      <w:r>
        <w:rPr>
          <w:rFonts w:hint="eastAsia"/>
        </w:rPr>
        <w:t>数据质量要求</w:t>
      </w:r>
    </w:p>
    <w:p w14:paraId="65568035">
      <w:pPr>
        <w:pStyle w:val="56"/>
        <w:ind w:firstLine="420"/>
      </w:pPr>
      <w:r>
        <w:rPr>
          <w:rFonts w:hint="eastAsia"/>
        </w:rPr>
        <w:t>居民健康档案开放前所有档案信息需经过内部质控，建立数据标准及业务标准，从数据完整性、有效性、一致性等多方面进行数据规范性核查，通过校验的数据方可开放。</w:t>
      </w:r>
    </w:p>
    <w:p w14:paraId="3D5CB9F2">
      <w:pPr>
        <w:pStyle w:val="162"/>
        <w:numPr>
          <w:ilvl w:val="0"/>
          <w:numId w:val="0"/>
        </w:numPr>
        <w:ind w:firstLine="420" w:firstLineChars="200"/>
      </w:pPr>
    </w:p>
    <w:p w14:paraId="0DB0E241">
      <w:pPr>
        <w:pStyle w:val="105"/>
        <w:spacing w:before="156" w:after="156"/>
        <w:rPr>
          <w:rFonts w:hint="eastAsia"/>
        </w:rPr>
      </w:pPr>
      <w:r>
        <w:rPr>
          <w:rFonts w:hint="eastAsia"/>
        </w:rPr>
        <w:t>错误反馈机制</w:t>
      </w:r>
    </w:p>
    <w:p w14:paraId="4C33743E">
      <w:pPr>
        <w:pStyle w:val="162"/>
        <w:numPr>
          <w:ilvl w:val="0"/>
          <w:numId w:val="0"/>
        </w:numPr>
        <w:ind w:firstLine="420" w:firstLineChars="200"/>
      </w:pPr>
      <w:r>
        <w:rPr>
          <w:rFonts w:hint="eastAsia"/>
        </w:rPr>
        <w:t>对居民端和医生端均应建立错误反馈通道，允许居民自行核对自身健康数据，居民在授权后可对联系电话和现住址等个人基本信息进行修改。对存疑医疗数据可以提请修改，后台对数据真实性、时效性等问题形成工单，明确责任主体，限期整改并对问题答复解决。</w:t>
      </w:r>
    </w:p>
    <w:p w14:paraId="19A5DFC5">
      <w:pPr>
        <w:pStyle w:val="56"/>
        <w:ind w:firstLine="420"/>
      </w:pPr>
    </w:p>
    <w:p w14:paraId="0B86402B">
      <w:pPr>
        <w:pStyle w:val="104"/>
        <w:spacing w:before="312" w:after="312"/>
      </w:pPr>
      <w:bookmarkStart w:id="47" w:name="_Toc129109182"/>
      <w:r>
        <w:rPr>
          <w:rFonts w:hint="eastAsia"/>
        </w:rPr>
        <w:t>管理要求</w:t>
      </w:r>
    </w:p>
    <w:p w14:paraId="38585C8E">
      <w:pPr>
        <w:pStyle w:val="105"/>
        <w:spacing w:before="156" w:after="156"/>
      </w:pPr>
      <w:r>
        <w:rPr>
          <w:rFonts w:hint="eastAsia"/>
        </w:rPr>
        <w:t>统计功能</w:t>
      </w:r>
      <w:bookmarkEnd w:id="47"/>
    </w:p>
    <w:p w14:paraId="419085F9">
      <w:pPr>
        <w:pStyle w:val="65"/>
        <w:spacing w:before="156" w:after="156"/>
        <w:ind w:left="0"/>
      </w:pPr>
      <w:r>
        <w:rPr>
          <w:rFonts w:hint="eastAsia"/>
        </w:rPr>
        <w:t>开放机构及档案数量统计</w:t>
      </w:r>
    </w:p>
    <w:p w14:paraId="55A93DAB">
      <w:pPr>
        <w:pStyle w:val="56"/>
        <w:ind w:firstLine="420"/>
      </w:pPr>
      <w:r>
        <w:rPr>
          <w:rFonts w:hint="eastAsia"/>
        </w:rPr>
        <w:t>以县（市、区）为单位，能汇总统计辖区内提供居民健康档案开放的基层医疗机构开放档案数量信息。</w:t>
      </w:r>
    </w:p>
    <w:p w14:paraId="021D4C01">
      <w:pPr>
        <w:pStyle w:val="65"/>
        <w:spacing w:before="156" w:after="156"/>
        <w:ind w:left="0"/>
      </w:pPr>
      <w:r>
        <w:rPr>
          <w:rFonts w:hint="eastAsia"/>
        </w:rPr>
        <w:t>个人绑定开放平台统计</w:t>
      </w:r>
    </w:p>
    <w:p w14:paraId="58AFA2BC">
      <w:pPr>
        <w:pStyle w:val="56"/>
        <w:ind w:firstLine="420"/>
      </w:pPr>
      <w:r>
        <w:rPr>
          <w:rFonts w:hint="eastAsia"/>
        </w:rPr>
        <w:t>能分时段统计居民与健康档案开放平台绑定人数。</w:t>
      </w:r>
    </w:p>
    <w:p w14:paraId="3A31B537">
      <w:pPr>
        <w:pStyle w:val="65"/>
        <w:spacing w:before="156" w:after="156"/>
        <w:ind w:left="0"/>
      </w:pPr>
      <w:r>
        <w:rPr>
          <w:rFonts w:hint="eastAsia"/>
        </w:rPr>
        <w:t>个人调阅统计</w:t>
      </w:r>
    </w:p>
    <w:p w14:paraId="6502E96D">
      <w:pPr>
        <w:pStyle w:val="56"/>
        <w:ind w:firstLine="420"/>
      </w:pPr>
      <w:r>
        <w:rPr>
          <w:rFonts w:hint="eastAsia"/>
        </w:rPr>
        <w:t>能分时段统计居民个人通过健康档案开放平台调阅档案的人数。</w:t>
      </w:r>
    </w:p>
    <w:p w14:paraId="7644309E">
      <w:pPr>
        <w:pStyle w:val="65"/>
        <w:spacing w:before="156" w:after="156"/>
        <w:ind w:left="0"/>
      </w:pPr>
      <w:r>
        <w:rPr>
          <w:rFonts w:hint="eastAsia"/>
        </w:rPr>
        <w:t>就诊调阅统计</w:t>
      </w:r>
    </w:p>
    <w:p w14:paraId="3BC1E05A">
      <w:pPr>
        <w:pStyle w:val="56"/>
        <w:ind w:firstLine="420"/>
      </w:pPr>
      <w:r>
        <w:rPr>
          <w:rFonts w:hint="eastAsia"/>
        </w:rPr>
        <w:t>能分时段统计接诊医生通过健康档案开放平台调阅档案的人数。</w:t>
      </w:r>
    </w:p>
    <w:p w14:paraId="4FF07854">
      <w:pPr>
        <w:pStyle w:val="65"/>
        <w:spacing w:before="156" w:after="156"/>
        <w:ind w:left="0"/>
      </w:pPr>
      <w:r>
        <w:rPr>
          <w:rFonts w:hint="eastAsia"/>
        </w:rPr>
        <w:t>档案动态更新统计</w:t>
      </w:r>
    </w:p>
    <w:p w14:paraId="5EA9E1A5">
      <w:pPr>
        <w:pStyle w:val="56"/>
        <w:ind w:firstLine="420"/>
      </w:pPr>
      <w:r>
        <w:rPr>
          <w:rFonts w:hint="eastAsia"/>
        </w:rPr>
        <w:t>能分时段统计居民健康档案动态更新人数。</w:t>
      </w:r>
    </w:p>
    <w:p w14:paraId="5BEDEFBF">
      <w:pPr>
        <w:pStyle w:val="56"/>
        <w:ind w:firstLine="420"/>
      </w:pPr>
    </w:p>
    <w:p w14:paraId="3325E5D1">
      <w:pPr>
        <w:pStyle w:val="105"/>
        <w:spacing w:before="156" w:after="156"/>
        <w:rPr>
          <w:rFonts w:hint="eastAsia"/>
        </w:rPr>
      </w:pPr>
      <w:r>
        <w:rPr>
          <w:rFonts w:hint="eastAsia"/>
        </w:rPr>
        <w:t>投诉处理</w:t>
      </w:r>
    </w:p>
    <w:p w14:paraId="13EA2434">
      <w:pPr>
        <w:pStyle w:val="56"/>
        <w:ind w:firstLine="420"/>
      </w:pPr>
      <w:r>
        <w:rPr>
          <w:rFonts w:hint="eastAsia"/>
        </w:rPr>
        <w:t>开放时应预留投诉处理联系方式及工作时间。接到居民投诉后，3个工作日内明确责任主体，7</w:t>
      </w:r>
      <w:r>
        <w:t>个</w:t>
      </w:r>
      <w:r>
        <w:rPr>
          <w:rFonts w:hint="eastAsia"/>
        </w:rPr>
        <w:t>工作日内予以处理解决。</w:t>
      </w:r>
    </w:p>
    <w:p w14:paraId="7E5010EC">
      <w:pPr>
        <w:pStyle w:val="56"/>
        <w:ind w:firstLine="420"/>
      </w:pPr>
    </w:p>
    <w:bookmarkEnd w:id="17"/>
    <w:p w14:paraId="2ABAE09B">
      <w:pPr>
        <w:pStyle w:val="198"/>
        <w:rPr>
          <w:vanish w:val="0"/>
        </w:rPr>
      </w:pPr>
      <w:bookmarkStart w:id="48" w:name="BookMark5"/>
    </w:p>
    <w:p w14:paraId="5E475247">
      <w:pPr>
        <w:pStyle w:val="199"/>
        <w:rPr>
          <w:vanish w:val="0"/>
        </w:rPr>
      </w:pPr>
    </w:p>
    <w:p w14:paraId="712C61EE">
      <w:pPr>
        <w:pStyle w:val="198"/>
        <w:rPr>
          <w:vanish w:val="0"/>
        </w:rPr>
      </w:pPr>
    </w:p>
    <w:p w14:paraId="4EB5D621">
      <w:pPr>
        <w:pStyle w:val="199"/>
        <w:rPr>
          <w:vanish w:val="0"/>
        </w:rPr>
      </w:pPr>
    </w:p>
    <w:p w14:paraId="30E494C5">
      <w:pPr>
        <w:pStyle w:val="198"/>
        <w:rPr>
          <w:vanish w:val="0"/>
        </w:rPr>
      </w:pPr>
    </w:p>
    <w:bookmarkEnd w:id="48"/>
    <w:p w14:paraId="4C2C08CE">
      <w:pPr>
        <w:pStyle w:val="199"/>
        <w:rPr>
          <w:vanish w:val="0"/>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F5A71">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FD997">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0721657"/>
      <w:docPartObj>
        <w:docPartGallery w:val="AutoText"/>
      </w:docPartObj>
    </w:sdtPr>
    <w:sdtContent>
      <w:p w14:paraId="7FA52572">
        <w:pPr>
          <w:pStyle w:val="17"/>
          <w:jc w:val="center"/>
        </w:pPr>
        <w:r>
          <w:fldChar w:fldCharType="begin"/>
        </w:r>
        <w:r>
          <w:instrText xml:space="preserve">PAGE   \* MERGEFORMAT</w:instrText>
        </w:r>
        <w:r>
          <w:fldChar w:fldCharType="separate"/>
        </w:r>
        <w:r>
          <w:rPr>
            <w:lang w:val="zh-CN"/>
          </w:rPr>
          <w:t>8</w:t>
        </w:r>
        <w:r>
          <w:fldChar w:fldCharType="end"/>
        </w:r>
      </w:p>
    </w:sdtContent>
  </w:sdt>
  <w:p w14:paraId="7D9A706F">
    <w:pPr>
      <w:pStyle w:val="5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84C40">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0D548">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529E5">
    <w:pPr>
      <w:pStyle w:val="61"/>
    </w:pPr>
    <w:r>
      <w:fldChar w:fldCharType="begin"/>
    </w:r>
    <w:r>
      <w:instrText xml:space="preserve"> STYLEREF  标准文件_文件编号  \* MERGEFORMAT </w:instrText>
    </w:r>
    <w:r>
      <w:fldChar w:fldCharType="separate"/>
    </w:r>
    <w:r>
      <w:t xml:space="preserve">DB 32/T </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320FE">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 xml:space="preserve">DB 32/T </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0AE77E1"/>
    <w:multiLevelType w:val="multilevel"/>
    <w:tmpl w:val="20AE77E1"/>
    <w:lvl w:ilvl="0" w:tentative="0">
      <w:start w:val="5"/>
      <w:numFmt w:val="decimal"/>
      <w:lvlText w:val="%1"/>
      <w:lvlJc w:val="left"/>
      <w:pPr>
        <w:ind w:left="550" w:hanging="550"/>
      </w:pPr>
      <w:rPr>
        <w:rFonts w:hint="default"/>
      </w:rPr>
    </w:lvl>
    <w:lvl w:ilvl="1" w:tentative="0">
      <w:start w:val="2"/>
      <w:numFmt w:val="decimal"/>
      <w:lvlText w:val="%1.%2"/>
      <w:lvlJc w:val="left"/>
      <w:pPr>
        <w:ind w:left="550" w:hanging="550"/>
      </w:pPr>
      <w:rPr>
        <w:rFonts w:hint="default"/>
      </w:rPr>
    </w:lvl>
    <w:lvl w:ilvl="2" w:tentative="0">
      <w:start w:val="6"/>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3685"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284"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1276" w:firstLine="0"/>
      </w:pPr>
      <w:rPr>
        <w:rFonts w:hint="eastAsia" w:ascii="黑体" w:eastAsia="黑体"/>
        <w:b w:val="0"/>
        <w:i w:val="0"/>
        <w:sz w:val="21"/>
      </w:rPr>
    </w:lvl>
    <w:lvl w:ilvl="4" w:tentative="0">
      <w:start w:val="1"/>
      <w:numFmt w:val="decimal"/>
      <w:pStyle w:val="94"/>
      <w:suff w:val="nothing"/>
      <w:lvlText w:val="%1%2.%3.%4.%5　"/>
      <w:lvlJc w:val="left"/>
      <w:pPr>
        <w:ind w:left="709"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C16740"/>
    <w:rsid w:val="0000040A"/>
    <w:rsid w:val="00000A94"/>
    <w:rsid w:val="00001972"/>
    <w:rsid w:val="00001D9A"/>
    <w:rsid w:val="00007B3A"/>
    <w:rsid w:val="000107E0"/>
    <w:rsid w:val="00011FDE"/>
    <w:rsid w:val="00012FFD"/>
    <w:rsid w:val="00014162"/>
    <w:rsid w:val="00014340"/>
    <w:rsid w:val="00016A9C"/>
    <w:rsid w:val="00022184"/>
    <w:rsid w:val="000226B2"/>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569"/>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6F69"/>
    <w:rsid w:val="00087A77"/>
    <w:rsid w:val="00090CA6"/>
    <w:rsid w:val="00092B8A"/>
    <w:rsid w:val="00092FB0"/>
    <w:rsid w:val="000934C5"/>
    <w:rsid w:val="00093D25"/>
    <w:rsid w:val="00093DAB"/>
    <w:rsid w:val="00094D73"/>
    <w:rsid w:val="00096D63"/>
    <w:rsid w:val="00096E71"/>
    <w:rsid w:val="000A0B60"/>
    <w:rsid w:val="000A0EB8"/>
    <w:rsid w:val="000A19FC"/>
    <w:rsid w:val="000A296B"/>
    <w:rsid w:val="000A7311"/>
    <w:rsid w:val="000B060F"/>
    <w:rsid w:val="000B1592"/>
    <w:rsid w:val="000B192F"/>
    <w:rsid w:val="000B1FF2"/>
    <w:rsid w:val="000B3033"/>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7F7"/>
    <w:rsid w:val="000D753B"/>
    <w:rsid w:val="000E4C9E"/>
    <w:rsid w:val="000E6FD7"/>
    <w:rsid w:val="000F06E1"/>
    <w:rsid w:val="000F0E3C"/>
    <w:rsid w:val="000F19D5"/>
    <w:rsid w:val="000F4AEA"/>
    <w:rsid w:val="000F633F"/>
    <w:rsid w:val="000F67E9"/>
    <w:rsid w:val="00104926"/>
    <w:rsid w:val="00113B1E"/>
    <w:rsid w:val="0011710D"/>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EBB"/>
    <w:rsid w:val="00165F49"/>
    <w:rsid w:val="00166B88"/>
    <w:rsid w:val="0016770A"/>
    <w:rsid w:val="00170804"/>
    <w:rsid w:val="001708E9"/>
    <w:rsid w:val="0017340B"/>
    <w:rsid w:val="00173FB1"/>
    <w:rsid w:val="00176DFD"/>
    <w:rsid w:val="0018303A"/>
    <w:rsid w:val="001852C9"/>
    <w:rsid w:val="001879F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E4D"/>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0E10"/>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5496"/>
    <w:rsid w:val="002C7EBB"/>
    <w:rsid w:val="002D06C1"/>
    <w:rsid w:val="002D2FDA"/>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1620"/>
    <w:rsid w:val="00352C83"/>
    <w:rsid w:val="003615D2"/>
    <w:rsid w:val="0036429C"/>
    <w:rsid w:val="00364A53"/>
    <w:rsid w:val="003654CB"/>
    <w:rsid w:val="00365AA9"/>
    <w:rsid w:val="00365F86"/>
    <w:rsid w:val="00365F87"/>
    <w:rsid w:val="00366078"/>
    <w:rsid w:val="00366E89"/>
    <w:rsid w:val="00367B41"/>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765"/>
    <w:rsid w:val="003B09AD"/>
    <w:rsid w:val="003B1F18"/>
    <w:rsid w:val="003B5BF0"/>
    <w:rsid w:val="003B60BF"/>
    <w:rsid w:val="003B6BE3"/>
    <w:rsid w:val="003B6CE0"/>
    <w:rsid w:val="003C010C"/>
    <w:rsid w:val="003C0A6C"/>
    <w:rsid w:val="003C14F8"/>
    <w:rsid w:val="003C5A43"/>
    <w:rsid w:val="003D0519"/>
    <w:rsid w:val="003D0FF6"/>
    <w:rsid w:val="003D262C"/>
    <w:rsid w:val="003D6D61"/>
    <w:rsid w:val="003D79C6"/>
    <w:rsid w:val="003E091D"/>
    <w:rsid w:val="003E1B6E"/>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140"/>
    <w:rsid w:val="00407D39"/>
    <w:rsid w:val="0041477A"/>
    <w:rsid w:val="004167A3"/>
    <w:rsid w:val="00432DAA"/>
    <w:rsid w:val="00434305"/>
    <w:rsid w:val="00435DF7"/>
    <w:rsid w:val="0044083F"/>
    <w:rsid w:val="00441950"/>
    <w:rsid w:val="00441AE7"/>
    <w:rsid w:val="00445574"/>
    <w:rsid w:val="004467FB"/>
    <w:rsid w:val="00452D6B"/>
    <w:rsid w:val="00454484"/>
    <w:rsid w:val="0045517B"/>
    <w:rsid w:val="00463B77"/>
    <w:rsid w:val="00463C7B"/>
    <w:rsid w:val="004644A6"/>
    <w:rsid w:val="004659BD"/>
    <w:rsid w:val="004662F8"/>
    <w:rsid w:val="00470775"/>
    <w:rsid w:val="004746B1"/>
    <w:rsid w:val="0047583F"/>
    <w:rsid w:val="00475DE8"/>
    <w:rsid w:val="004775E0"/>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23A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7178"/>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503D"/>
    <w:rsid w:val="005A7830"/>
    <w:rsid w:val="005A7FCE"/>
    <w:rsid w:val="005B0F3F"/>
    <w:rsid w:val="005B37FB"/>
    <w:rsid w:val="005B4903"/>
    <w:rsid w:val="005B51CE"/>
    <w:rsid w:val="005B5885"/>
    <w:rsid w:val="005B5CD7"/>
    <w:rsid w:val="005B6CF6"/>
    <w:rsid w:val="005B7422"/>
    <w:rsid w:val="005C1F36"/>
    <w:rsid w:val="005C29B8"/>
    <w:rsid w:val="005C5F21"/>
    <w:rsid w:val="005C7156"/>
    <w:rsid w:val="005D0C75"/>
    <w:rsid w:val="005D4171"/>
    <w:rsid w:val="005D6A95"/>
    <w:rsid w:val="005D6B2C"/>
    <w:rsid w:val="005D6D9C"/>
    <w:rsid w:val="005E22EB"/>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0F8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0B0"/>
    <w:rsid w:val="006712E2"/>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4F"/>
    <w:rsid w:val="006C6DD0"/>
    <w:rsid w:val="006D04EA"/>
    <w:rsid w:val="006D0AB7"/>
    <w:rsid w:val="006D1322"/>
    <w:rsid w:val="006D16C4"/>
    <w:rsid w:val="006D3E96"/>
    <w:rsid w:val="006D4515"/>
    <w:rsid w:val="006D4BB1"/>
    <w:rsid w:val="006D6593"/>
    <w:rsid w:val="006E23EA"/>
    <w:rsid w:val="006F03A8"/>
    <w:rsid w:val="006F2ACA"/>
    <w:rsid w:val="006F2ADC"/>
    <w:rsid w:val="006F2BFE"/>
    <w:rsid w:val="006F31E9"/>
    <w:rsid w:val="006F6284"/>
    <w:rsid w:val="006F6AD0"/>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4A52"/>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67D"/>
    <w:rsid w:val="0078114B"/>
    <w:rsid w:val="00781DD2"/>
    <w:rsid w:val="007837E0"/>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448"/>
    <w:rsid w:val="007C1E8B"/>
    <w:rsid w:val="007C2D89"/>
    <w:rsid w:val="007C4593"/>
    <w:rsid w:val="007C5309"/>
    <w:rsid w:val="007C6069"/>
    <w:rsid w:val="007D06C4"/>
    <w:rsid w:val="007D1352"/>
    <w:rsid w:val="007D2508"/>
    <w:rsid w:val="007D346A"/>
    <w:rsid w:val="007D6518"/>
    <w:rsid w:val="007D73B7"/>
    <w:rsid w:val="007D76BD"/>
    <w:rsid w:val="007E0BF1"/>
    <w:rsid w:val="007F0ED8"/>
    <w:rsid w:val="007F0F63"/>
    <w:rsid w:val="007F75CE"/>
    <w:rsid w:val="008013A4"/>
    <w:rsid w:val="00801A5C"/>
    <w:rsid w:val="008027CE"/>
    <w:rsid w:val="00802F42"/>
    <w:rsid w:val="00804383"/>
    <w:rsid w:val="00804BB7"/>
    <w:rsid w:val="00804D41"/>
    <w:rsid w:val="00810257"/>
    <w:rsid w:val="008104F5"/>
    <w:rsid w:val="00811072"/>
    <w:rsid w:val="00811369"/>
    <w:rsid w:val="00815419"/>
    <w:rsid w:val="008163C8"/>
    <w:rsid w:val="008164A1"/>
    <w:rsid w:val="00817325"/>
    <w:rsid w:val="00817E2A"/>
    <w:rsid w:val="008209E6"/>
    <w:rsid w:val="00821797"/>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EA8"/>
    <w:rsid w:val="008A3215"/>
    <w:rsid w:val="008A57E6"/>
    <w:rsid w:val="008A6F81"/>
    <w:rsid w:val="008A769A"/>
    <w:rsid w:val="008B0C9C"/>
    <w:rsid w:val="008B166D"/>
    <w:rsid w:val="008B17F4"/>
    <w:rsid w:val="008B3615"/>
    <w:rsid w:val="008B4AC4"/>
    <w:rsid w:val="008B50C8"/>
    <w:rsid w:val="008B5281"/>
    <w:rsid w:val="008B7E05"/>
    <w:rsid w:val="008C0BBF"/>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40D"/>
    <w:rsid w:val="009429D5"/>
    <w:rsid w:val="00942BF1"/>
    <w:rsid w:val="00945180"/>
    <w:rsid w:val="00945428"/>
    <w:rsid w:val="0094607B"/>
    <w:rsid w:val="00953604"/>
    <w:rsid w:val="00953B30"/>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490"/>
    <w:rsid w:val="0099551B"/>
    <w:rsid w:val="00995ED5"/>
    <w:rsid w:val="00997BF1"/>
    <w:rsid w:val="009A089C"/>
    <w:rsid w:val="009A118E"/>
    <w:rsid w:val="009A21CD"/>
    <w:rsid w:val="009A278C"/>
    <w:rsid w:val="009A2BC2"/>
    <w:rsid w:val="009A3200"/>
    <w:rsid w:val="009A42C1"/>
    <w:rsid w:val="009A5429"/>
    <w:rsid w:val="009A72AD"/>
    <w:rsid w:val="009B09E0"/>
    <w:rsid w:val="009B0BC5"/>
    <w:rsid w:val="009B1247"/>
    <w:rsid w:val="009B3458"/>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11D7"/>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5AB8"/>
    <w:rsid w:val="00A36C08"/>
    <w:rsid w:val="00A36DD1"/>
    <w:rsid w:val="00A37711"/>
    <w:rsid w:val="00A4006C"/>
    <w:rsid w:val="00A40091"/>
    <w:rsid w:val="00A4030F"/>
    <w:rsid w:val="00A41C79"/>
    <w:rsid w:val="00A41CB5"/>
    <w:rsid w:val="00A42CDF"/>
    <w:rsid w:val="00A4452E"/>
    <w:rsid w:val="00A4472C"/>
    <w:rsid w:val="00A44E69"/>
    <w:rsid w:val="00A4661E"/>
    <w:rsid w:val="00A5390D"/>
    <w:rsid w:val="00A55BD6"/>
    <w:rsid w:val="00A55D50"/>
    <w:rsid w:val="00A57142"/>
    <w:rsid w:val="00A648CD"/>
    <w:rsid w:val="00A6537A"/>
    <w:rsid w:val="00A655D7"/>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3D52"/>
    <w:rsid w:val="00B049AF"/>
    <w:rsid w:val="00B07242"/>
    <w:rsid w:val="00B10534"/>
    <w:rsid w:val="00B113DB"/>
    <w:rsid w:val="00B11D8A"/>
    <w:rsid w:val="00B12981"/>
    <w:rsid w:val="00B147DD"/>
    <w:rsid w:val="00B156FD"/>
    <w:rsid w:val="00B21F61"/>
    <w:rsid w:val="00B261F1"/>
    <w:rsid w:val="00B2634C"/>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CB1"/>
    <w:rsid w:val="00B939B1"/>
    <w:rsid w:val="00B96D40"/>
    <w:rsid w:val="00B97386"/>
    <w:rsid w:val="00BA263B"/>
    <w:rsid w:val="00BA38E7"/>
    <w:rsid w:val="00BA42B2"/>
    <w:rsid w:val="00BA58D4"/>
    <w:rsid w:val="00BA5B9E"/>
    <w:rsid w:val="00BA7C9A"/>
    <w:rsid w:val="00BB203B"/>
    <w:rsid w:val="00BB5F8F"/>
    <w:rsid w:val="00BB657A"/>
    <w:rsid w:val="00BC1A4E"/>
    <w:rsid w:val="00BC4790"/>
    <w:rsid w:val="00BC55A7"/>
    <w:rsid w:val="00BC5DC7"/>
    <w:rsid w:val="00BC6B8B"/>
    <w:rsid w:val="00BC73D8"/>
    <w:rsid w:val="00BD52D7"/>
    <w:rsid w:val="00BD5AD2"/>
    <w:rsid w:val="00BE22F3"/>
    <w:rsid w:val="00BE5B52"/>
    <w:rsid w:val="00BE7B8D"/>
    <w:rsid w:val="00BF0993"/>
    <w:rsid w:val="00BF10A9"/>
    <w:rsid w:val="00BF1395"/>
    <w:rsid w:val="00BF1703"/>
    <w:rsid w:val="00BF231C"/>
    <w:rsid w:val="00BF51E5"/>
    <w:rsid w:val="00BF74A6"/>
    <w:rsid w:val="00C013AD"/>
    <w:rsid w:val="00C04665"/>
    <w:rsid w:val="00C04904"/>
    <w:rsid w:val="00C056B3"/>
    <w:rsid w:val="00C103E5"/>
    <w:rsid w:val="00C13319"/>
    <w:rsid w:val="00C13EE9"/>
    <w:rsid w:val="00C16740"/>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0C57"/>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1D36"/>
    <w:rsid w:val="00CE30EA"/>
    <w:rsid w:val="00CF048A"/>
    <w:rsid w:val="00CF155A"/>
    <w:rsid w:val="00CF2947"/>
    <w:rsid w:val="00CF686F"/>
    <w:rsid w:val="00CF6E60"/>
    <w:rsid w:val="00CF7BCA"/>
    <w:rsid w:val="00D008FD"/>
    <w:rsid w:val="00D015E5"/>
    <w:rsid w:val="00D0321C"/>
    <w:rsid w:val="00D035EC"/>
    <w:rsid w:val="00D06AB1"/>
    <w:rsid w:val="00D06E85"/>
    <w:rsid w:val="00D072ED"/>
    <w:rsid w:val="00D07A16"/>
    <w:rsid w:val="00D1067E"/>
    <w:rsid w:val="00D10F50"/>
    <w:rsid w:val="00D11272"/>
    <w:rsid w:val="00D126F5"/>
    <w:rsid w:val="00D1489E"/>
    <w:rsid w:val="00D168E1"/>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26ED"/>
    <w:rsid w:val="00DD4FE5"/>
    <w:rsid w:val="00DD54B0"/>
    <w:rsid w:val="00DD57EE"/>
    <w:rsid w:val="00DD6BCC"/>
    <w:rsid w:val="00DE0A4B"/>
    <w:rsid w:val="00DE2410"/>
    <w:rsid w:val="00DE2939"/>
    <w:rsid w:val="00DE6E81"/>
    <w:rsid w:val="00DE703F"/>
    <w:rsid w:val="00DE7595"/>
    <w:rsid w:val="00DF1961"/>
    <w:rsid w:val="00DF44DE"/>
    <w:rsid w:val="00DF5537"/>
    <w:rsid w:val="00DF5F11"/>
    <w:rsid w:val="00E01138"/>
    <w:rsid w:val="00E02DFB"/>
    <w:rsid w:val="00E030F9"/>
    <w:rsid w:val="00E0311A"/>
    <w:rsid w:val="00E03138"/>
    <w:rsid w:val="00E06404"/>
    <w:rsid w:val="00E065D2"/>
    <w:rsid w:val="00E11A85"/>
    <w:rsid w:val="00E123A6"/>
    <w:rsid w:val="00E12495"/>
    <w:rsid w:val="00E15CCD"/>
    <w:rsid w:val="00E16DA9"/>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029"/>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801"/>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87D79"/>
    <w:rsid w:val="00F87EE9"/>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B23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ind w:left="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ind w:left="1843"/>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styleId="230">
    <w:name w:val="List Paragraph"/>
    <w:basedOn w:val="1"/>
    <w:qFormat/>
    <w:uiPriority w:val="34"/>
    <w:pPr>
      <w:ind w:firstLine="420" w:firstLineChars="200"/>
    </w:pPr>
  </w:style>
  <w:style w:type="character" w:customStyle="1" w:styleId="231">
    <w:name w:val="content-right_8zs40"/>
    <w:basedOn w:val="28"/>
    <w:uiPriority w:val="0"/>
  </w:style>
  <w:style w:type="paragraph" w:customStyle="1" w:styleId="232">
    <w:name w:val="Revision"/>
    <w:hidden/>
    <w:semiHidden/>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2E194FF8DCF483AB4CF11BD5ADD763E"/>
        <w:style w:val=""/>
        <w:category>
          <w:name w:val="常规"/>
          <w:gallery w:val="placeholder"/>
        </w:category>
        <w:types>
          <w:type w:val="bbPlcHdr"/>
        </w:types>
        <w:behaviors>
          <w:behavior w:val="content"/>
        </w:behaviors>
        <w:description w:val=""/>
        <w:guid w:val="{3533D966-B8AC-4DC7-B03D-9978CA209E34}"/>
      </w:docPartPr>
      <w:docPartBody>
        <w:p w14:paraId="6F724887">
          <w:pPr>
            <w:pStyle w:val="5"/>
          </w:pPr>
          <w:r>
            <w:rPr>
              <w:rStyle w:val="4"/>
              <w:rFonts w:hint="eastAsia"/>
            </w:rPr>
            <w:t>单击或点击此处输入文字。</w:t>
          </w:r>
        </w:p>
      </w:docPartBody>
    </w:docPart>
    <w:docPart>
      <w:docPartPr>
        <w:name w:val="E1672512D59E431F83F53B0E2B03ADC9"/>
        <w:style w:val=""/>
        <w:category>
          <w:name w:val="常规"/>
          <w:gallery w:val="placeholder"/>
        </w:category>
        <w:types>
          <w:type w:val="bbPlcHdr"/>
        </w:types>
        <w:behaviors>
          <w:behavior w:val="content"/>
        </w:behaviors>
        <w:description w:val=""/>
        <w:guid w:val="{7780E890-2B0B-48C1-ADEC-BD90D1B8DAA8}"/>
      </w:docPartPr>
      <w:docPartBody>
        <w:p w14:paraId="76B01388">
          <w:pPr>
            <w:pStyle w:val="6"/>
          </w:pPr>
          <w:r>
            <w:rPr>
              <w:rStyle w:val="4"/>
              <w:rFonts w:hint="eastAsia"/>
            </w:rPr>
            <w:t>选择一项。</w:t>
          </w:r>
        </w:p>
      </w:docPartBody>
    </w:docPart>
    <w:docPart>
      <w:docPartPr>
        <w:name w:val="5C7C68291ECF42FA98C792789A0DD321"/>
        <w:style w:val=""/>
        <w:category>
          <w:name w:val="常规"/>
          <w:gallery w:val="placeholder"/>
        </w:category>
        <w:types>
          <w:type w:val="bbPlcHdr"/>
        </w:types>
        <w:behaviors>
          <w:behavior w:val="content"/>
        </w:behaviors>
        <w:description w:val=""/>
        <w:guid w:val="{91A2FE30-B978-40FF-B384-357DBC314DC6}"/>
      </w:docPartPr>
      <w:docPartBody>
        <w:p w14:paraId="7A60B172">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60C"/>
    <w:rsid w:val="00006F62"/>
    <w:rsid w:val="00082145"/>
    <w:rsid w:val="000A460C"/>
    <w:rsid w:val="0016396D"/>
    <w:rsid w:val="002C5496"/>
    <w:rsid w:val="003B1493"/>
    <w:rsid w:val="005A4E80"/>
    <w:rsid w:val="008827F2"/>
    <w:rsid w:val="00A37711"/>
    <w:rsid w:val="00A97E3B"/>
    <w:rsid w:val="00C133D6"/>
    <w:rsid w:val="00D30D5C"/>
    <w:rsid w:val="00E03155"/>
    <w:rsid w:val="00E71029"/>
    <w:rsid w:val="00F75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72E194FF8DCF483AB4CF11BD5ADD763E"/>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1672512D59E431F83F53B0E2B03ADC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C7C68291ECF42FA98C792789A0DD321"/>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F3541-31D1-4AB1-88D7-619D56DCC965}">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4039</Words>
  <Characters>4215</Characters>
  <Lines>37</Lines>
  <Paragraphs>10</Paragraphs>
  <TotalTime>0</TotalTime>
  <ScaleCrop>false</ScaleCrop>
  <LinksUpToDate>false</LinksUpToDate>
  <CharactersWithSpaces>4345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2024-08-16T09:45:00Z</dcterms:created>
  <dc:creator>徐佳南</dc:creator>
  <dc:description>&lt;config cover="true" show_menu="true" version="1.0.0" doctype="SDKXY"&gt;_x000d_
&lt;/config&gt;</dc:description>
  <cp:lastModifiedBy>mmme</cp:lastModifiedBy>
  <cp:lastPrinted>2024-07-25T12:17:00Z</cp:lastPrinted>
  <dcterms:modified xsi:type="dcterms:W3CDTF">2024-09-10T05:02:41Z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2052-12.1.0.17857</vt:lpwstr>
  </property>
  <property fmtid="{D5CDD505-2E9C-101B-9397-08002B2CF9AE}" pid="15" name="ICV">
    <vt:lpwstr>202EF57709B34F35B915F5840D4C6AB6_12</vt:lpwstr>
  </property>
</Properties>
</file>